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79"/>
        <w:ind w:left="-142" w:right="-1"/>
        <w:jc w:val="center"/>
        <w:shd w:val="clear" w:color="auto" w:fill="ffffff"/>
        <w:rPr>
          <w:rFonts w:ascii="Arial" w:hAnsi="Arial" w:cs="Arial"/>
          <w:b/>
          <w:sz w:val="28"/>
          <w:szCs w:val="28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page">
                  <wp:posOffset>2169160</wp:posOffset>
                </wp:positionH>
                <wp:positionV relativeFrom="paragraph">
                  <wp:posOffset>203200</wp:posOffset>
                </wp:positionV>
                <wp:extent cx="5229225" cy="661130"/>
                <wp:effectExtent l="6350" t="6350" r="6350" b="6350"/>
                <wp:wrapNone/>
                <wp:docPr id="1" name="_x0000_s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flipH="0" flipV="0">
                          <a:off x="0" y="0"/>
                          <a:ext cx="5229225" cy="6611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879"/>
                              <w:ind w:left="-142"/>
                              <w:spacing w:before="0" w:beforeAutospacing="0" w:after="0" w:afterAutospacing="0" w:line="312" w:lineRule="auto"/>
                              <w:shd w:val="clear" w:color="auto" w:fill="ffffff"/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  <w:t xml:space="preserve">Государственное казенное учреждение Новосибирской области </w:t>
                            </w: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r>
                          </w:p>
                          <w:p>
                            <w:pPr>
                              <w:pStyle w:val="879"/>
                              <w:ind w:left="-142"/>
                              <w:spacing w:before="0" w:beforeAutospacing="0" w:after="0" w:afterAutospacing="0" w:line="312" w:lineRule="auto"/>
                              <w:shd w:val="clear" w:color="auto" w:fill="ffffff"/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  <w:t xml:space="preserve">«Управление контрактной системы»</w:t>
                            </w: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r>
                            <w:r>
                              <w:rPr>
                                <w:b/>
                                <w:caps/>
                                <w:color w:val="002060"/>
                                <w:sz w:val="20"/>
                                <w:szCs w:val="28"/>
                              </w:rPr>
                            </w:r>
                          </w:p>
                          <w:p>
                            <w:pPr>
                              <w:pStyle w:val="871"/>
                            </w:pPr>
                            <w:r/>
                            <w:r/>
                          </w:p>
                        </w:txbxContent>
                      </wps:txbx>
                      <wps:bodyPr wrap="square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251658241;o:allowoverlap:true;o:allowincell:true;mso-position-horizontal-relative:page;margin-left:170.80pt;mso-position-horizontal:absolute;mso-position-vertical-relative:text;margin-top:16.00pt;mso-position-vertical:absolute;width:411.75pt;height:52.06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Style w:val="879"/>
                        <w:ind w:left="-142"/>
                        <w:spacing w:before="0" w:beforeAutospacing="0" w:after="0" w:afterAutospacing="0" w:line="312" w:lineRule="auto"/>
                        <w:shd w:val="clear" w:color="auto" w:fill="ffffff"/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pP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  <w:t xml:space="preserve">Государственное казенное учреждение Новосибирской области </w:t>
                      </w: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r>
                    </w:p>
                    <w:p>
                      <w:pPr>
                        <w:pStyle w:val="879"/>
                        <w:ind w:left="-142"/>
                        <w:spacing w:before="0" w:beforeAutospacing="0" w:after="0" w:afterAutospacing="0" w:line="312" w:lineRule="auto"/>
                        <w:shd w:val="clear" w:color="auto" w:fill="ffffff"/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pP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  <w:t xml:space="preserve">«Управление контрактной системы»</w:t>
                      </w: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r>
                      <w:r>
                        <w:rPr>
                          <w:b/>
                          <w:caps/>
                          <w:color w:val="002060"/>
                          <w:sz w:val="20"/>
                          <w:szCs w:val="28"/>
                        </w:rPr>
                      </w:r>
                    </w:p>
                    <w:p>
                      <w:pPr>
                        <w:pStyle w:val="871"/>
                      </w:pPr>
                      <w:r/>
                      <w:r/>
                    </w:p>
                  </w:txbxContent>
                </v:textbox>
              </v:shape>
            </w:pict>
          </mc:Fallback>
        </mc:AlternateContent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11430</wp:posOffset>
                </wp:positionV>
                <wp:extent cx="1304925" cy="1209675"/>
                <wp:effectExtent l="0" t="0" r="0" b="0"/>
                <wp:wrapNone/>
                <wp:docPr id="2" name="_x0000_s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9"/>
                        <a:srcRect l="8141" t="11333" r="12176" b="12900"/>
                        <a:stretch/>
                      </pic:blipFill>
                      <pic:spPr bwMode="auto">
                        <a:xfrm>
                          <a:off x="0" y="0"/>
                          <a:ext cx="1304925" cy="1209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position:absolute;z-index:524288;o:allowoverlap:true;o:allowincell:true;mso-position-horizontal-relative:margin;mso-position-horizontal:left;mso-position-vertical-relative:text;margin-top:0.90pt;mso-position-vertical:absolute;width:102.75pt;height:95.25pt;mso-wrap-distance-left:9.00pt;mso-wrap-distance-top:0.00pt;mso-wrap-distance-right:9.00pt;mso-wrap-distance-bottom:0.00pt;" stroked="f">
                <v:path textboxrect="0,0,0,0"/>
                <v:imagedata r:id="rId9" o:title=""/>
              </v:shape>
            </w:pict>
          </mc:Fallback>
        </mc:AlternateContent>
      </w:r>
      <w:r>
        <w:rPr>
          <w:rFonts w:ascii="Arial" w:hAnsi="Arial" w:cs="Arial"/>
          <w:b/>
          <w:sz w:val="28"/>
          <w:szCs w:val="28"/>
        </w:rPr>
      </w:r>
      <w:r>
        <w:rPr>
          <w:rFonts w:ascii="Arial" w:hAnsi="Arial" w:cs="Arial"/>
          <w:b/>
          <w:sz w:val="28"/>
          <w:szCs w:val="28"/>
        </w:rPr>
      </w:r>
    </w:p>
    <w:p>
      <w:pPr>
        <w:pStyle w:val="879"/>
        <w:ind w:left="-142" w:right="-1"/>
        <w:jc w:val="center"/>
        <w:shd w:val="clear" w:color="auto" w:fill="ffffff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</w:r>
      <w:r>
        <w:rPr>
          <w:rFonts w:ascii="Arial" w:hAnsi="Arial" w:cs="Arial"/>
          <w:b/>
          <w:sz w:val="28"/>
          <w:szCs w:val="28"/>
        </w:rPr>
      </w:r>
      <w:r>
        <w:rPr>
          <w:rFonts w:ascii="Arial" w:hAnsi="Arial" w:cs="Arial"/>
          <w:b/>
          <w:sz w:val="28"/>
          <w:szCs w:val="28"/>
        </w:rPr>
      </w:r>
    </w:p>
    <w:p>
      <w:pPr>
        <w:pStyle w:val="879"/>
        <w:ind w:left="-142"/>
        <w:jc w:val="center"/>
        <w:spacing w:before="0" w:beforeAutospacing="0" w:after="0" w:afterAutospacing="0"/>
        <w:shd w:val="clear" w:color="auto" w:fill="ffffff"/>
        <w:rPr>
          <w:rFonts w:ascii="Arial" w:hAnsi="Arial" w:cs="Arial"/>
          <w:b/>
          <w:sz w:val="22"/>
          <w:szCs w:val="28"/>
        </w:rPr>
      </w:pPr>
      <w:r>
        <w:rPr>
          <w:rFonts w:ascii="Arial" w:hAnsi="Arial" w:cs="Arial"/>
          <w:b/>
          <w:sz w:val="22"/>
          <w:szCs w:val="28"/>
        </w:rPr>
      </w:r>
      <w:r>
        <w:rPr>
          <w:rFonts w:ascii="Arial" w:hAnsi="Arial" w:cs="Arial"/>
          <w:b/>
          <w:sz w:val="22"/>
          <w:szCs w:val="28"/>
        </w:rPr>
      </w:r>
      <w:r>
        <w:rPr>
          <w:rFonts w:ascii="Arial" w:hAnsi="Arial" w:cs="Arial"/>
          <w:b/>
          <w:sz w:val="22"/>
          <w:szCs w:val="28"/>
        </w:rPr>
      </w:r>
    </w:p>
    <w:p>
      <w:pPr>
        <w:pStyle w:val="879"/>
        <w:ind w:left="-142"/>
        <w:jc w:val="center"/>
        <w:spacing w:before="0" w:beforeAutospacing="0" w:after="120" w:afterAutospacing="0"/>
        <w:shd w:val="clear" w:color="auto" w:fill="ffffff"/>
        <w:rPr>
          <w:rFonts w:ascii="Arial" w:hAnsi="Arial" w:cs="Arial"/>
          <w:b/>
          <w:color w:val="002060"/>
          <w:szCs w:val="28"/>
        </w:rPr>
      </w:pPr>
      <w:r>
        <w:rPr>
          <w:rFonts w:ascii="Arial" w:hAnsi="Arial" w:cs="Arial"/>
          <w:b/>
          <w:color w:val="002060"/>
          <w:szCs w:val="28"/>
        </w:rPr>
        <w:t xml:space="preserve">ПРОГРАММА СЕМИНАРА</w:t>
      </w:r>
      <w:r>
        <w:rPr>
          <w:rFonts w:ascii="Arial" w:hAnsi="Arial" w:cs="Arial"/>
          <w:b/>
          <w:color w:val="002060"/>
          <w:szCs w:val="28"/>
        </w:rPr>
      </w:r>
      <w:r>
        <w:rPr>
          <w:rFonts w:ascii="Arial" w:hAnsi="Arial" w:cs="Arial"/>
          <w:b/>
          <w:color w:val="002060"/>
          <w:szCs w:val="28"/>
        </w:rPr>
      </w:r>
    </w:p>
    <w:p>
      <w:pPr>
        <w:pStyle w:val="879"/>
        <w:jc w:val="center"/>
        <w:spacing w:before="0" w:beforeAutospacing="0" w:after="0" w:afterAutospacing="0" w:line="276" w:lineRule="auto"/>
        <w:shd w:val="clear" w:color="auto" w:fill="ffffff"/>
        <w:rPr>
          <w:rFonts w:ascii="Arial" w:hAnsi="Arial" w:cs="Arial"/>
          <w:b/>
          <w:color w:val="002060"/>
          <w:sz w:val="32"/>
          <w:szCs w:val="28"/>
        </w:rPr>
      </w:pPr>
      <w:r>
        <w:rPr>
          <w:rFonts w:ascii="Arial" w:hAnsi="Arial" w:cs="Arial"/>
          <w:b/>
          <w:color w:val="002060"/>
          <w:sz w:val="32"/>
          <w:szCs w:val="28"/>
        </w:rPr>
        <w:t xml:space="preserve">«Демонстрация работы в ГИСЗ НСО в рамках Федерального закона от 18.07.2011 № 223</w:t>
      </w:r>
      <w:r>
        <w:rPr>
          <w:rFonts w:ascii="Arial" w:hAnsi="Arial" w:cs="Arial"/>
          <w:b/>
          <w:color w:val="002060"/>
          <w:sz w:val="32"/>
          <w:szCs w:val="28"/>
        </w:rPr>
        <w:t xml:space="preserve">-ФЗ</w:t>
      </w:r>
      <w:r>
        <w:rPr>
          <w:rFonts w:ascii="Arial" w:hAnsi="Arial" w:cs="Arial"/>
          <w:b/>
          <w:color w:val="002060"/>
          <w:sz w:val="32"/>
          <w:szCs w:val="28"/>
        </w:rPr>
        <w:t xml:space="preserve">»</w:t>
      </w:r>
      <w:r>
        <w:rPr>
          <w:rFonts w:ascii="Arial" w:hAnsi="Arial" w:cs="Arial"/>
          <w:b/>
          <w:color w:val="002060"/>
          <w:sz w:val="32"/>
          <w:szCs w:val="28"/>
        </w:rPr>
        <w:t xml:space="preserve"> </w:t>
      </w:r>
      <w:r>
        <w:rPr>
          <w:rFonts w:ascii="Arial" w:hAnsi="Arial" w:cs="Arial"/>
          <w:b/>
          <w:color w:val="002060"/>
          <w:sz w:val="32"/>
          <w:szCs w:val="28"/>
        </w:rPr>
      </w:r>
      <w:r>
        <w:rPr>
          <w:rFonts w:ascii="Arial" w:hAnsi="Arial" w:cs="Arial"/>
          <w:b/>
          <w:color w:val="002060"/>
          <w:sz w:val="32"/>
          <w:szCs w:val="28"/>
        </w:rPr>
      </w:r>
    </w:p>
    <w:p>
      <w:pPr>
        <w:pStyle w:val="879"/>
        <w:jc w:val="center"/>
        <w:spacing w:before="0" w:beforeAutospacing="0" w:after="0" w:afterAutospacing="0" w:line="276" w:lineRule="auto"/>
        <w:shd w:val="clear" w:color="auto" w:fill="ffffff"/>
        <w:rPr>
          <w:rFonts w:ascii="Arial" w:hAnsi="Arial" w:cs="Arial"/>
          <w:b/>
          <w:i/>
          <w:color w:val="002060"/>
          <w:sz w:val="22"/>
          <w:szCs w:val="22"/>
        </w:rPr>
      </w:pPr>
      <w:r>
        <w:rPr>
          <w:rFonts w:ascii="Arial" w:hAnsi="Arial" w:cs="Arial"/>
          <w:b/>
          <w:i/>
          <w:color w:val="002060"/>
          <w:sz w:val="22"/>
          <w:szCs w:val="22"/>
        </w:rPr>
        <w:t xml:space="preserve">Рекомендовано </w:t>
      </w:r>
      <w:r>
        <w:rPr>
          <w:rFonts w:ascii="Arial" w:hAnsi="Arial" w:cs="Arial"/>
          <w:b/>
          <w:i/>
          <w:color w:val="002060"/>
          <w:sz w:val="22"/>
          <w:szCs w:val="22"/>
        </w:rPr>
        <w:t xml:space="preserve">для начинающих пользователей</w:t>
      </w:r>
      <w:r>
        <w:rPr>
          <w:rFonts w:ascii="Arial" w:hAnsi="Arial" w:cs="Arial"/>
          <w:b/>
          <w:i/>
          <w:color w:val="002060"/>
          <w:sz w:val="22"/>
          <w:szCs w:val="22"/>
        </w:rPr>
      </w:r>
      <w:r>
        <w:rPr>
          <w:rFonts w:ascii="Arial" w:hAnsi="Arial" w:cs="Arial"/>
          <w:b/>
          <w:i/>
          <w:color w:val="002060"/>
          <w:sz w:val="22"/>
          <w:szCs w:val="22"/>
        </w:rPr>
      </w:r>
    </w:p>
    <w:p>
      <w:pPr>
        <w:pStyle w:val="871"/>
        <w:spacing w:after="0" w:line="276" w:lineRule="auto"/>
        <w:shd w:val="clear" w:color="auto" w:fill="ffffff"/>
        <w:rPr>
          <w:rFonts w:ascii="Arial" w:hAnsi="Arial" w:eastAsia="Times New Roman" w:cs="Arial"/>
          <w:color w:val="000000"/>
          <w:sz w:val="12"/>
          <w:szCs w:val="28"/>
          <w:lang w:eastAsia="ru-RU"/>
        </w:rPr>
      </w:pPr>
      <w:r>
        <w:rPr>
          <w:rFonts w:ascii="Arial" w:hAnsi="Arial" w:eastAsia="Times New Roman" w:cs="Arial"/>
          <w:color w:val="000000"/>
          <w:sz w:val="12"/>
          <w:szCs w:val="28"/>
          <w:lang w:eastAsia="ru-RU"/>
        </w:rPr>
      </w:r>
      <w:r>
        <w:rPr>
          <w:rFonts w:ascii="Arial" w:hAnsi="Arial" w:eastAsia="Times New Roman" w:cs="Arial"/>
          <w:color w:val="000000"/>
          <w:sz w:val="12"/>
          <w:szCs w:val="28"/>
          <w:lang w:eastAsia="ru-RU"/>
        </w:rPr>
      </w:r>
      <w:r>
        <w:rPr>
          <w:rFonts w:ascii="Arial" w:hAnsi="Arial" w:eastAsia="Times New Roman" w:cs="Arial"/>
          <w:color w:val="000000"/>
          <w:sz w:val="12"/>
          <w:szCs w:val="28"/>
          <w:lang w:eastAsia="ru-RU"/>
        </w:rPr>
      </w:r>
    </w:p>
    <w:p>
      <w:pPr>
        <w:pStyle w:val="871"/>
        <w:spacing w:after="0" w:line="276" w:lineRule="auto"/>
        <w:shd w:val="clear" w:color="auto" w:fill="ffffff"/>
        <w:rPr>
          <w:rFonts w:ascii="Arial" w:hAnsi="Arial" w:eastAsia="Times New Roman" w:cs="Arial"/>
          <w:color w:val="002060"/>
          <w:szCs w:val="28"/>
          <w:lang w:eastAsia="ru-RU"/>
        </w:rPr>
      </w:pPr>
      <w:r>
        <w:rPr>
          <w:rFonts w:ascii="Arial" w:hAnsi="Arial" w:eastAsia="Times New Roman" w:cs="Arial"/>
          <w:b/>
          <w:color w:val="002060"/>
          <w:sz w:val="24"/>
          <w:szCs w:val="28"/>
          <w:lang w:eastAsia="ru-RU"/>
        </w:rPr>
        <w:t xml:space="preserve">Лекторы</w:t>
      </w:r>
      <w:r>
        <w:rPr>
          <w:rFonts w:ascii="Arial" w:hAnsi="Arial" w:eastAsia="Times New Roman" w:cs="Arial"/>
          <w:color w:val="002060"/>
          <w:sz w:val="28"/>
          <w:szCs w:val="28"/>
          <w:lang w:eastAsia="ru-RU"/>
        </w:rPr>
        <w:t xml:space="preserve">:</w:t>
      </w:r>
      <w:r>
        <w:rPr>
          <w:rFonts w:ascii="Arial" w:hAnsi="Arial" w:eastAsia="Times New Roman" w:cs="Arial"/>
          <w:color w:val="002060"/>
          <w:szCs w:val="28"/>
          <w:lang w:eastAsia="ru-RU"/>
        </w:rPr>
      </w:r>
      <w:r>
        <w:rPr>
          <w:rFonts w:ascii="Arial" w:hAnsi="Arial" w:eastAsia="Times New Roman" w:cs="Arial"/>
          <w:color w:val="002060"/>
          <w:szCs w:val="28"/>
          <w:lang w:eastAsia="ru-RU"/>
        </w:rPr>
      </w:r>
    </w:p>
    <w:p>
      <w:pPr>
        <w:contextualSpacing w:val="0"/>
        <w:jc w:val="left"/>
        <w:spacing w:before="0" w:after="57" w:line="240" w:lineRule="auto"/>
        <w:rPr>
          <w:rFonts w:ascii="Arial" w:hAnsi="Arial" w:cs="Arial"/>
          <w:color w:val="002060"/>
          <w:sz w:val="22"/>
          <w:szCs w:val="22"/>
        </w:rPr>
        <w:suppressLineNumbers w:val="0"/>
      </w:pPr>
      <w:r>
        <w:rPr>
          <w:rFonts w:ascii="Arial" w:hAnsi="Arial" w:eastAsia="Arial" w:cs="Arial"/>
          <w:color w:val="002060"/>
          <w:sz w:val="24"/>
          <w:szCs w:val="24"/>
        </w:rPr>
      </w:r>
      <w:r>
        <w:rPr>
          <w:rFonts w:ascii="Arial" w:hAnsi="Arial" w:eastAsia="Arial" w:cs="Arial"/>
          <w:b/>
          <w:bCs/>
          <w:color w:val="002060"/>
          <w:sz w:val="24"/>
          <w:szCs w:val="24"/>
        </w:rPr>
        <w:t xml:space="preserve">Сойнова</w:t>
      </w:r>
      <w:r>
        <w:rPr>
          <w:rFonts w:ascii="Arial" w:hAnsi="Arial" w:eastAsia="Arial" w:cs="Arial"/>
          <w:b/>
          <w:bCs/>
          <w:color w:val="002060"/>
          <w:sz w:val="24"/>
          <w:szCs w:val="24"/>
        </w:rPr>
        <w:t xml:space="preserve"> Маргарита Дмитриевн</w:t>
      </w:r>
      <w:r>
        <w:rPr>
          <w:rFonts w:ascii="Arial" w:hAnsi="Arial" w:eastAsia="Arial" w:cs="Arial"/>
          <w:color w:val="002060"/>
          <w:sz w:val="24"/>
          <w:szCs w:val="24"/>
        </w:rPr>
        <w:t xml:space="preserve">а</w:t>
      </w:r>
      <w:r>
        <w:rPr>
          <w:rFonts w:ascii="Arial" w:hAnsi="Arial" w:eastAsia="Arial" w:cs="Arial"/>
          <w:color w:val="002060"/>
          <w:sz w:val="24"/>
          <w:szCs w:val="24"/>
        </w:rPr>
        <w:t xml:space="preserve"> - </w:t>
      </w:r>
      <w:r>
        <w:rPr>
          <w:rFonts w:ascii="Arial" w:hAnsi="Arial" w:eastAsia="Arial" w:cs="Arial"/>
          <w:color w:val="002060"/>
          <w:sz w:val="22"/>
          <w:szCs w:val="22"/>
        </w:rPr>
        <w:t xml:space="preserve">в</w:t>
      </w:r>
      <w:r>
        <w:rPr>
          <w:rFonts w:ascii="Arial" w:hAnsi="Arial" w:eastAsia="Arial" w:cs="Arial"/>
          <w:color w:val="002060"/>
          <w:sz w:val="22"/>
          <w:szCs w:val="22"/>
        </w:rPr>
        <w:t xml:space="preserve">ед</w:t>
      </w:r>
      <w:r>
        <w:rPr>
          <w:rFonts w:ascii="Arial" w:hAnsi="Arial" w:eastAsia="Arial" w:cs="Arial"/>
          <w:color w:val="002060"/>
          <w:sz w:val="22"/>
          <w:szCs w:val="22"/>
        </w:rPr>
        <w:t xml:space="preserve">ущий эксперт информационно-технического отдела</w:t>
      </w:r>
      <w:r>
        <w:rPr>
          <w:rFonts w:ascii="Arial" w:hAnsi="Arial" w:cs="Arial"/>
          <w:color w:val="002060"/>
          <w:sz w:val="22"/>
          <w:szCs w:val="22"/>
        </w:rPr>
      </w:r>
      <w:r>
        <w:rPr>
          <w:rFonts w:ascii="Arial" w:hAnsi="Arial" w:cs="Arial"/>
          <w:color w:val="002060"/>
          <w:sz w:val="22"/>
          <w:szCs w:val="22"/>
        </w:rPr>
      </w:r>
    </w:p>
    <w:p>
      <w:pPr>
        <w:pStyle w:val="871"/>
        <w:contextualSpacing w:val="0"/>
        <w:ind w:right="-2"/>
        <w:jc w:val="left"/>
        <w:spacing w:before="0" w:after="57" w:line="240" w:lineRule="auto"/>
        <w:tabs>
          <w:tab w:val="left" w:pos="9355" w:leader="none"/>
        </w:tabs>
        <w:rPr>
          <w:rFonts w:ascii="Arial" w:hAnsi="Arial" w:eastAsia="Times New Roman" w:cs="Arial"/>
          <w:color w:val="002060"/>
          <w:szCs w:val="28"/>
        </w:rPr>
        <w:suppressLineNumbers w:val="0"/>
      </w:pPr>
      <w:r>
        <w:rPr>
          <w:rFonts w:ascii="Arial" w:hAnsi="Arial" w:eastAsia="Times New Roman" w:cs="Arial"/>
          <w:b/>
          <w:color w:val="002060"/>
          <w:sz w:val="24"/>
          <w:szCs w:val="24"/>
          <w:lang w:eastAsia="ru-RU"/>
        </w:rPr>
        <w:t xml:space="preserve">Митрякова Ирина Алексеевна</w:t>
      </w:r>
      <w:r>
        <w:rPr>
          <w:rFonts w:ascii="Arial" w:hAnsi="Arial" w:eastAsia="Times New Roman" w:cs="Arial"/>
          <w:b/>
          <w:color w:val="002060"/>
          <w:sz w:val="24"/>
          <w:szCs w:val="24"/>
          <w:lang w:eastAsia="ru-RU"/>
        </w:rPr>
        <w:t xml:space="preserve"> </w:t>
      </w:r>
      <w:r>
        <w:rPr>
          <w:rFonts w:ascii="Arial" w:hAnsi="Arial" w:eastAsia="Times New Roman" w:cs="Arial"/>
          <w:color w:val="002060"/>
          <w:sz w:val="24"/>
          <w:szCs w:val="24"/>
          <w:lang w:eastAsia="ru-RU"/>
        </w:rPr>
        <w:t xml:space="preserve">– </w:t>
      </w:r>
      <w:r>
        <w:rPr>
          <w:rFonts w:ascii="Arial" w:hAnsi="Arial" w:eastAsia="Times New Roman" w:cs="Arial"/>
          <w:color w:val="002060"/>
          <w:szCs w:val="28"/>
          <w:lang w:eastAsia="ru-RU"/>
        </w:rPr>
        <w:t xml:space="preserve">ведущий эксперт информационно-технического отдела</w:t>
      </w:r>
      <w:r>
        <w:rPr>
          <w:rFonts w:ascii="Arial" w:hAnsi="Arial" w:eastAsia="Times New Roman" w:cs="Arial"/>
          <w:color w:val="002060"/>
          <w:szCs w:val="28"/>
        </w:rPr>
      </w:r>
      <w:r>
        <w:rPr>
          <w:rFonts w:ascii="Arial" w:hAnsi="Arial" w:eastAsia="Times New Roman" w:cs="Arial"/>
          <w:color w:val="002060"/>
          <w:szCs w:val="28"/>
        </w:rPr>
      </w:r>
    </w:p>
    <w:p>
      <w:pPr>
        <w:pStyle w:val="871"/>
        <w:contextualSpacing w:val="0"/>
        <w:jc w:val="left"/>
        <w:spacing w:before="0" w:after="57" w:line="240" w:lineRule="auto"/>
        <w:rPr>
          <w:rFonts w:ascii="Arial" w:hAnsi="Arial" w:eastAsia="Times New Roman" w:cs="Arial"/>
          <w:color w:val="002060"/>
          <w:highlight w:val="none"/>
        </w:rPr>
        <w:suppressLineNumbers w:val="0"/>
      </w:pPr>
      <w:r>
        <w:rPr>
          <w:rFonts w:ascii="Arial" w:hAnsi="Arial" w:eastAsia="Times New Roman" w:cs="Arial"/>
          <w:b/>
          <w:color w:val="002060"/>
          <w:sz w:val="24"/>
          <w:szCs w:val="28"/>
          <w:lang w:eastAsia="ru-RU"/>
        </w:rPr>
        <w:t xml:space="preserve">Шарапова Александра Игоревна</w:t>
      </w:r>
      <w:r>
        <w:rPr>
          <w:rFonts w:ascii="Arial" w:hAnsi="Arial" w:eastAsia="Times New Roman" w:cs="Arial"/>
          <w:color w:val="002060"/>
          <w:szCs w:val="28"/>
          <w:lang w:eastAsia="ru-RU"/>
        </w:rPr>
        <w:t xml:space="preserve"> – ведущий эксперт информационно-технического отдела</w:t>
      </w:r>
      <w:r>
        <w:rPr>
          <w:rFonts w:ascii="Arial" w:hAnsi="Arial" w:eastAsia="Times New Roman" w:cs="Arial"/>
          <w:color w:val="002060"/>
          <w:highlight w:val="none"/>
        </w:rPr>
      </w:r>
      <w:r>
        <w:rPr>
          <w:rFonts w:ascii="Arial" w:hAnsi="Arial" w:eastAsia="Times New Roman" w:cs="Arial"/>
          <w:color w:val="002060"/>
          <w:highlight w:val="none"/>
        </w:rPr>
      </w:r>
    </w:p>
    <w:p>
      <w:pPr>
        <w:pStyle w:val="871"/>
        <w:contextualSpacing w:val="0"/>
        <w:ind w:right="-2"/>
        <w:jc w:val="both"/>
        <w:spacing w:before="0" w:after="57" w:line="240" w:lineRule="auto"/>
        <w:tabs>
          <w:tab w:val="left" w:pos="9355" w:leader="none"/>
        </w:tabs>
        <w:rPr>
          <w:rFonts w:ascii="Arial" w:hAnsi="Arial" w:eastAsia="Times New Roman" w:cs="Arial"/>
          <w:color w:val="002060"/>
          <w:highlight w:val="none"/>
        </w:rPr>
        <w:suppressLineNumbers w:val="0"/>
      </w:pPr>
      <w:r>
        <w:rPr>
          <w:rFonts w:ascii="Arial" w:hAnsi="Arial" w:eastAsia="Times New Roman" w:cs="Arial"/>
          <w:b/>
          <w:color w:val="002060"/>
          <w:sz w:val="24"/>
          <w:szCs w:val="24"/>
          <w:lang w:eastAsia="ru-RU"/>
        </w:rPr>
        <w:t xml:space="preserve">Знаменщикова Анна Константиновна</w:t>
      </w:r>
      <w:r>
        <w:rPr>
          <w:rFonts w:ascii="Arial" w:hAnsi="Arial" w:eastAsia="Times New Roman" w:cs="Arial"/>
          <w:b/>
          <w:color w:val="002060"/>
          <w:sz w:val="24"/>
          <w:szCs w:val="24"/>
          <w:lang w:eastAsia="ru-RU"/>
        </w:rPr>
        <w:t xml:space="preserve"> </w:t>
      </w:r>
      <w:r>
        <w:rPr>
          <w:rFonts w:ascii="Arial" w:hAnsi="Arial" w:eastAsia="Times New Roman" w:cs="Arial"/>
          <w:color w:val="002060"/>
          <w:sz w:val="24"/>
          <w:szCs w:val="24"/>
          <w:lang w:eastAsia="ru-RU"/>
        </w:rPr>
        <w:t xml:space="preserve">– </w:t>
      </w:r>
      <w:r>
        <w:rPr>
          <w:rFonts w:ascii="Arial" w:hAnsi="Arial" w:eastAsia="Times New Roman" w:cs="Arial"/>
          <w:color w:val="002060"/>
          <w:szCs w:val="28"/>
          <w:lang w:eastAsia="ru-RU"/>
        </w:rPr>
        <w:t xml:space="preserve">ведущий эксперт информационно-технического отдела</w:t>
      </w:r>
      <w:r>
        <w:rPr>
          <w:rFonts w:ascii="Arial" w:hAnsi="Arial" w:eastAsia="Times New Roman" w:cs="Arial"/>
          <w:color w:val="002060"/>
          <w:highlight w:val="none"/>
        </w:rPr>
      </w:r>
      <w:r>
        <w:rPr>
          <w:rFonts w:ascii="Arial" w:hAnsi="Arial" w:eastAsia="Times New Roman" w:cs="Arial"/>
          <w:color w:val="002060"/>
          <w:highlight w:val="none"/>
        </w:rPr>
      </w:r>
    </w:p>
    <w:p>
      <w:pPr>
        <w:pStyle w:val="871"/>
        <w:ind w:right="-2"/>
        <w:jc w:val="both"/>
        <w:spacing w:after="0" w:line="240" w:lineRule="auto"/>
        <w:tabs>
          <w:tab w:val="left" w:pos="9355" w:leader="none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</w:r>
      <w:r>
        <w:rPr>
          <w:rFonts w:ascii="Arial" w:hAnsi="Arial" w:cs="Arial"/>
          <w:sz w:val="20"/>
        </w:rPr>
      </w:r>
    </w:p>
    <w:tbl>
      <w:tblPr>
        <w:tblW w:w="0" w:type="auto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838"/>
        <w:gridCol w:w="5103"/>
        <w:gridCol w:w="3255"/>
      </w:tblGrid>
      <w:tr>
        <w:tblPrEx/>
        <w:trPr>
          <w:trHeight w:val="1129"/>
        </w:trPr>
        <w:tc>
          <w:tcPr>
            <w:gridSpan w:val="3"/>
            <w:shd w:val="clear" w:color="auto" w:fill="deeaf6"/>
            <w:tcW w:w="10196" w:type="dxa"/>
            <w:vAlign w:val="center"/>
            <w:textDirection w:val="lrTb"/>
            <w:noWrap w:val="false"/>
          </w:tcPr>
          <w:p>
            <w:pPr>
              <w:pStyle w:val="871"/>
              <w:ind w:left="-108" w:right="284"/>
              <w:jc w:val="center"/>
              <w:spacing w:after="120" w:line="240" w:lineRule="auto"/>
              <w:rPr>
                <w:rFonts w:ascii="Arial" w:hAnsi="Arial" w:cs="Arial"/>
                <w:color w:val="002060"/>
                <w:sz w:val="28"/>
                <w:szCs w:val="32"/>
              </w:rPr>
              <w:outlineLvl w:val="2"/>
            </w:pPr>
            <w:r>
              <w:rPr>
                <w:rFonts w:ascii="Arial" w:hAnsi="Arial" w:cs="Arial"/>
                <w:b/>
                <w:color w:val="002060"/>
                <w:sz w:val="24"/>
                <w:szCs w:val="28"/>
              </w:rPr>
              <w:t xml:space="preserve">Дата и место проведения мероприятия: 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21 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октября 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2025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 г., с 09:30 до 16:4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5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, </w:t>
            </w:r>
            <w:r>
              <w:rPr>
                <w:rFonts w:ascii="Arial" w:hAnsi="Arial" w:cs="Arial"/>
                <w:color w:val="002060"/>
                <w:sz w:val="28"/>
                <w:szCs w:val="32"/>
              </w:rPr>
            </w:r>
            <w:r>
              <w:rPr>
                <w:rFonts w:ascii="Arial" w:hAnsi="Arial" w:cs="Arial"/>
                <w:color w:val="002060"/>
                <w:sz w:val="28"/>
                <w:szCs w:val="32"/>
              </w:rPr>
            </w:r>
          </w:p>
          <w:p>
            <w:pPr>
              <w:pStyle w:val="871"/>
              <w:ind w:left="-108" w:right="284"/>
              <w:jc w:val="center"/>
              <w:spacing w:after="120" w:line="240" w:lineRule="auto"/>
              <w:rPr>
                <w:rFonts w:ascii="Arial" w:hAnsi="Arial" w:cs="Arial"/>
                <w:color w:val="002060"/>
                <w:sz w:val="28"/>
                <w:szCs w:val="32"/>
              </w:rPr>
              <w:outlineLvl w:val="2"/>
            </w:pP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регистра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ция участников семинара – с 09:0</w:t>
            </w: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0</w:t>
            </w:r>
            <w:r>
              <w:rPr>
                <w:rFonts w:ascii="Arial" w:hAnsi="Arial" w:cs="Arial"/>
                <w:color w:val="002060"/>
                <w:sz w:val="28"/>
                <w:szCs w:val="32"/>
              </w:rPr>
            </w:r>
            <w:r>
              <w:rPr>
                <w:rFonts w:ascii="Arial" w:hAnsi="Arial" w:cs="Arial"/>
                <w:color w:val="002060"/>
                <w:sz w:val="28"/>
                <w:szCs w:val="32"/>
              </w:rPr>
            </w:r>
          </w:p>
          <w:p>
            <w:pPr>
              <w:pStyle w:val="871"/>
              <w:ind w:left="-108" w:right="284"/>
              <w:jc w:val="center"/>
              <w:spacing w:after="120" w:line="240" w:lineRule="auto"/>
              <w:rPr>
                <w:rFonts w:ascii="Arial" w:hAnsi="Arial" w:cs="Arial"/>
                <w:b/>
                <w:color w:val="002060"/>
                <w:sz w:val="28"/>
                <w:szCs w:val="32"/>
              </w:rPr>
              <w:outlineLvl w:val="2"/>
            </w:pPr>
            <w:r>
              <w:rPr>
                <w:rFonts w:ascii="Arial" w:hAnsi="Arial" w:cs="Arial"/>
                <w:color w:val="002060"/>
                <w:sz w:val="24"/>
                <w:szCs w:val="28"/>
              </w:rPr>
              <w:t xml:space="preserve">г. Новосибирск, ул. Фрунзе, д. 88, аудитория № 408</w:t>
            </w:r>
            <w:r>
              <w:rPr>
                <w:rFonts w:ascii="Arial" w:hAnsi="Arial" w:cs="Arial"/>
                <w:b/>
                <w:color w:val="002060"/>
                <w:sz w:val="28"/>
                <w:szCs w:val="32"/>
              </w:rPr>
            </w:r>
            <w:r>
              <w:rPr>
                <w:rFonts w:ascii="Arial" w:hAnsi="Arial" w:cs="Arial"/>
                <w:b/>
                <w:color w:val="002060"/>
                <w:sz w:val="28"/>
                <w:szCs w:val="32"/>
              </w:rPr>
            </w:r>
          </w:p>
        </w:tc>
      </w:tr>
      <w:tr>
        <w:tblPrEx/>
        <w:trPr>
          <w:trHeight w:val="410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before="120" w:after="120" w:line="240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b/>
                <w:bCs/>
                <w:color w:val="002060"/>
                <w:spacing w:val="20"/>
                <w:sz w:val="24"/>
                <w:szCs w:val="24"/>
                <w:lang w:eastAsia="ru-RU"/>
              </w:rPr>
              <w:t xml:space="preserve">Время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before="120" w:after="120" w:line="240" w:lineRule="auto"/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  <w:outlineLvl w:val="2"/>
            </w:pP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  <w:lang w:eastAsia="ru-RU"/>
              </w:rPr>
              <w:t xml:space="preserve">Тема</w:t>
            </w: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</w: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top"/>
            <w:textDirection w:val="lrTb"/>
            <w:noWrap w:val="false"/>
          </w:tcPr>
          <w:p>
            <w:pPr>
              <w:pStyle w:val="871"/>
              <w:jc w:val="center"/>
              <w:spacing w:before="120" w:after="120" w:line="240" w:lineRule="auto"/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  <w:outlineLvl w:val="2"/>
            </w:pP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  <w:lang w:eastAsia="ru-RU"/>
              </w:rPr>
              <w:t xml:space="preserve">Лектор</w:t>
            </w: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</w:r>
            <w:r>
              <w:rPr>
                <w:rFonts w:ascii="Arial" w:hAnsi="Arial" w:eastAsia="Times New Roman" w:cs="Arial"/>
                <w:b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805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9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:00 – 09:3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0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Регистрация участников семинара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top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2540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09:30 – 11:00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Типовое положение о закупке;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Собственное положение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о закупке, формирование изменения положения и выгрузка его в ЕИС;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позиций плана закупки;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Особенности формирования позиций для осуществления закупок у субъектов малого и среднего предпринимательства;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плана закупки;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Экспорт планов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закупки в ЕИС;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62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Загрузка планов закупки в ГИС;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62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  <w:highlight w:val="none"/>
              </w:rPr>
              <w:t xml:space="preserve">Управление бюджетными процессами НСО;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9"/>
              </w:numPr>
              <w:ind w:left="458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Отчет «Сметные плановые назначения за вычетом принятых обязательств по договорам».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center"/>
            <w:textDirection w:val="lrTb"/>
            <w:noWrap w:val="false"/>
          </w:tcPr>
          <w:p>
            <w:pPr>
              <w:pStyle w:val="877"/>
              <w:ind w:left="459"/>
              <w:jc w:val="center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Сойнова Маргарита Дмитриевна –</w:t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ведущий эксперт информационно-технического отдела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371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11:00 – 11:15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Перерыв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top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1591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11:15 – 12:45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7"/>
              <w:numPr>
                <w:ilvl w:val="0"/>
                <w:numId w:val="17"/>
              </w:numPr>
              <w:ind w:left="461" w:hanging="283"/>
              <w:jc w:val="both"/>
              <w:spacing w:after="0" w:line="276" w:lineRule="auto"/>
              <w:rPr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конкурентных закупок (в том числе закупок, осуществляемых у субъектов малого и среднего предпринимательства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)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;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7"/>
              </w:numPr>
              <w:ind w:left="461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закупок со способом определения поставщика «Единственный поставщик»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7"/>
              </w:numPr>
              <w:ind w:left="461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Централи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зация закупок (конкурс в электронной форме, аукцион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в электронной форме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с НМЦД свыше 3 млн. рублей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)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7"/>
              <w:numPr>
                <w:ilvl w:val="0"/>
                <w:numId w:val="17"/>
              </w:numPr>
              <w:ind w:left="461" w:hanging="283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Выгрузка закупок в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ЕИС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в электронный магазин.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center"/>
            <w:textDirection w:val="lrTb"/>
            <w:noWrap w:val="false"/>
          </w:tcPr>
          <w:p>
            <w:pPr>
              <w:pStyle w:val="871"/>
              <w:ind w:left="461"/>
              <w:jc w:val="center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Митрякова Ирина Алексеена - ведущий эксперт</w:t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 информационно-технического отдела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485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12:45 – 13:30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Обед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top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1340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13:30 – 15:00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numPr>
                <w:ilvl w:val="0"/>
                <w:numId w:val="17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сведений о договоре по результатам закупки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7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договора с единственным поставщиком;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7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Выгр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узка сведений о договоре в ЕИС;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7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Отправка сведений о договоре в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ГИС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У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правлени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е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бюджетными процессами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НСО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.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Шарапова Александра Игоревна</w:t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 – ведущий эксперт информационно-технического отдела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609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15:00 – 15:15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Перерыв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top"/>
            <w:textDirection w:val="lrTb"/>
            <w:noWrap w:val="false"/>
          </w:tcPr>
          <w:p>
            <w:pPr>
              <w:pStyle w:val="871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</w:tr>
      <w:tr>
        <w:tblPrEx/>
        <w:trPr>
          <w:trHeight w:val="1635"/>
        </w:trPr>
        <w:tc>
          <w:tcPr>
            <w:tcW w:w="1838" w:type="dxa"/>
            <w:vAlign w:val="center"/>
            <w:textDirection w:val="lrTb"/>
            <w:noWrap w:val="false"/>
          </w:tcPr>
          <w:p>
            <w:pPr>
              <w:pStyle w:val="871"/>
              <w:jc w:val="center"/>
              <w:spacing w:after="0" w:line="276" w:lineRule="auto"/>
              <w:rPr>
                <w:rFonts w:ascii="Arial" w:hAnsi="Arial" w:cs="Arial"/>
                <w:i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  <w:t xml:space="preserve">15:15 – 16:45</w:t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i/>
                <w:color w:val="002060"/>
                <w:sz w:val="24"/>
                <w:szCs w:val="24"/>
              </w:rPr>
            </w:r>
          </w:p>
        </w:tc>
        <w:tc>
          <w:tcPr>
            <w:tcW w:w="5103" w:type="dxa"/>
            <w:vAlign w:val="center"/>
            <w:textDirection w:val="lrTb"/>
            <w:noWrap w:val="false"/>
          </w:tcPr>
          <w:p>
            <w:pPr>
              <w:pStyle w:val="871"/>
              <w:numPr>
                <w:ilvl w:val="0"/>
                <w:numId w:val="18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документа исполнени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я и отправка его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в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ГИС У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правлени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е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бюджетными процессами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8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сведений об исп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олнении (расторжении) договора, их в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ыгрузка в ЕИС;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8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Направление информации о расторжении договора в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ГИС У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правлени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е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 бюджетными процессами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НСО 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(как уточнение бюджетного обязательства);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  <w:p>
            <w:pPr>
              <w:pStyle w:val="871"/>
              <w:numPr>
                <w:ilvl w:val="0"/>
                <w:numId w:val="18"/>
              </w:numPr>
              <w:ind w:left="461"/>
              <w:jc w:val="both"/>
              <w:spacing w:after="0" w:line="276" w:lineRule="auto"/>
              <w:rPr>
                <w:rFonts w:ascii="Arial" w:hAnsi="Arial" w:cs="Arial"/>
                <w:color w:val="002060"/>
                <w:sz w:val="24"/>
                <w:szCs w:val="24"/>
              </w:rPr>
            </w:pPr>
            <w:r>
              <w:rPr>
                <w:rFonts w:ascii="Arial" w:hAnsi="Arial" w:cs="Arial"/>
                <w:color w:val="002060"/>
                <w:sz w:val="24"/>
                <w:szCs w:val="24"/>
              </w:rPr>
              <w:t xml:space="preserve">Формирование и экспорт в ЕИС отчетности.</w:t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  <w:r>
              <w:rPr>
                <w:rFonts w:ascii="Arial" w:hAnsi="Arial" w:cs="Arial"/>
                <w:color w:val="002060"/>
                <w:sz w:val="24"/>
                <w:szCs w:val="24"/>
              </w:rPr>
            </w:r>
          </w:p>
        </w:tc>
        <w:tc>
          <w:tcPr>
            <w:tcW w:w="3255" w:type="dxa"/>
            <w:vAlign w:val="center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Знаменщикова Анна Константиновна</w:t>
            </w:r>
            <w:r>
              <w:rPr>
                <w:rFonts w:ascii="Arial" w:hAnsi="Arial" w:eastAsia="Times New Roman" w:cs="Arial"/>
                <w:color w:val="002060"/>
                <w:sz w:val="24"/>
                <w:szCs w:val="24"/>
                <w:lang w:eastAsia="ru-RU"/>
              </w:rPr>
              <w:t xml:space="preserve"> – ведущий эксперт информационно-технического отдела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sectPr>
      <w:footnotePr/>
      <w:endnotePr/>
      <w:type w:val="nextPage"/>
      <w:pgSz w:w="11906" w:h="16838" w:orient="portrait"/>
      <w:pgMar w:top="567" w:right="566" w:bottom="284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Segoe UI">
    <w:panose1 w:val="020B050204050402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65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85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205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25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45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65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85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805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25" w:hanging="360"/>
      </w:pPr>
      <w:rPr>
        <w:rFonts w:ascii="Wingdings" w:hAnsi="Wingdings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54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74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94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14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34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54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74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94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14" w:hanging="360"/>
      </w:pPr>
      <w:rPr>
        <w:rFonts w:ascii="Wingdings" w:hAnsi="Wingdings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895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615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335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055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775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495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215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935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655" w:hanging="360"/>
      </w:pPr>
      <w:rPr>
        <w:rFonts w:ascii="Wingdings" w:hAnsi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93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113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33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53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73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93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713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33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53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4329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50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57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64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72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79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86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93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10089" w:hanging="360"/>
      </w:pPr>
      <w:rPr>
        <w:rFonts w:ascii="Wingdings" w:hAnsi="Wingdings"/>
      </w:rPr>
    </w:lvl>
  </w:abstractNum>
  <w:num w:numId="1">
    <w:abstractNumId w:val="5"/>
  </w:num>
  <w:num w:numId="2">
    <w:abstractNumId w:val="2"/>
  </w:num>
  <w:num w:numId="3">
    <w:abstractNumId w:val="14"/>
  </w:num>
  <w:num w:numId="4">
    <w:abstractNumId w:val="8"/>
  </w:num>
  <w:num w:numId="5">
    <w:abstractNumId w:val="17"/>
  </w:num>
  <w:num w:numId="6">
    <w:abstractNumId w:val="12"/>
  </w:num>
  <w:num w:numId="7">
    <w:abstractNumId w:val="9"/>
  </w:num>
  <w:num w:numId="8">
    <w:abstractNumId w:val="3"/>
  </w:num>
  <w:num w:numId="9">
    <w:abstractNumId w:val="4"/>
  </w:num>
  <w:num w:numId="10">
    <w:abstractNumId w:val="1"/>
  </w:num>
  <w:num w:numId="11">
    <w:abstractNumId w:val="13"/>
  </w:num>
  <w:num w:numId="12">
    <w:abstractNumId w:val="15"/>
  </w:num>
  <w:num w:numId="13">
    <w:abstractNumId w:val="0"/>
  </w:num>
  <w:num w:numId="14">
    <w:abstractNumId w:val="16"/>
  </w:num>
  <w:num w:numId="15">
    <w:abstractNumId w:val="10"/>
  </w:num>
  <w:num w:numId="16">
    <w:abstractNumId w:val="6"/>
  </w:num>
  <w:num w:numId="17">
    <w:abstractNumId w:val="11"/>
  </w:num>
  <w:num w:numId="18">
    <w:abstractNumId w:val="18"/>
  </w:num>
  <w:num w:numId="19">
    <w:abstractNumId w:val="7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93">
    <w:name w:val="Heading 1"/>
    <w:basedOn w:val="871"/>
    <w:next w:val="871"/>
    <w:link w:val="69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94">
    <w:name w:val="Heading 1 Char"/>
    <w:link w:val="693"/>
    <w:uiPriority w:val="9"/>
    <w:rPr>
      <w:rFonts w:ascii="Arial" w:hAnsi="Arial" w:eastAsia="Arial" w:cs="Arial"/>
      <w:sz w:val="40"/>
      <w:szCs w:val="40"/>
    </w:rPr>
  </w:style>
  <w:style w:type="paragraph" w:styleId="695">
    <w:name w:val="Heading 2"/>
    <w:basedOn w:val="871"/>
    <w:next w:val="871"/>
    <w:link w:val="69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96">
    <w:name w:val="Heading 2 Char"/>
    <w:link w:val="695"/>
    <w:uiPriority w:val="9"/>
    <w:rPr>
      <w:rFonts w:ascii="Arial" w:hAnsi="Arial" w:eastAsia="Arial" w:cs="Arial"/>
      <w:sz w:val="34"/>
    </w:rPr>
  </w:style>
  <w:style w:type="paragraph" w:styleId="697">
    <w:name w:val="Heading 3"/>
    <w:basedOn w:val="871"/>
    <w:next w:val="871"/>
    <w:link w:val="69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98">
    <w:name w:val="Heading 3 Char"/>
    <w:link w:val="697"/>
    <w:uiPriority w:val="9"/>
    <w:rPr>
      <w:rFonts w:ascii="Arial" w:hAnsi="Arial" w:eastAsia="Arial" w:cs="Arial"/>
      <w:sz w:val="30"/>
      <w:szCs w:val="30"/>
    </w:rPr>
  </w:style>
  <w:style w:type="paragraph" w:styleId="699">
    <w:name w:val="Heading 4"/>
    <w:basedOn w:val="871"/>
    <w:next w:val="871"/>
    <w:link w:val="70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00">
    <w:name w:val="Heading 4 Char"/>
    <w:link w:val="699"/>
    <w:uiPriority w:val="9"/>
    <w:rPr>
      <w:rFonts w:ascii="Arial" w:hAnsi="Arial" w:eastAsia="Arial" w:cs="Arial"/>
      <w:b/>
      <w:bCs/>
      <w:sz w:val="26"/>
      <w:szCs w:val="26"/>
    </w:rPr>
  </w:style>
  <w:style w:type="paragraph" w:styleId="701">
    <w:name w:val="Heading 5"/>
    <w:basedOn w:val="871"/>
    <w:next w:val="871"/>
    <w:link w:val="70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02">
    <w:name w:val="Heading 5 Char"/>
    <w:link w:val="701"/>
    <w:uiPriority w:val="9"/>
    <w:rPr>
      <w:rFonts w:ascii="Arial" w:hAnsi="Arial" w:eastAsia="Arial" w:cs="Arial"/>
      <w:b/>
      <w:bCs/>
      <w:sz w:val="24"/>
      <w:szCs w:val="24"/>
    </w:rPr>
  </w:style>
  <w:style w:type="paragraph" w:styleId="703">
    <w:name w:val="Heading 6"/>
    <w:basedOn w:val="871"/>
    <w:next w:val="871"/>
    <w:link w:val="70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04">
    <w:name w:val="Heading 6 Char"/>
    <w:link w:val="703"/>
    <w:uiPriority w:val="9"/>
    <w:rPr>
      <w:rFonts w:ascii="Arial" w:hAnsi="Arial" w:eastAsia="Arial" w:cs="Arial"/>
      <w:b/>
      <w:bCs/>
      <w:sz w:val="22"/>
      <w:szCs w:val="22"/>
    </w:rPr>
  </w:style>
  <w:style w:type="paragraph" w:styleId="705">
    <w:name w:val="Heading 7"/>
    <w:basedOn w:val="871"/>
    <w:next w:val="871"/>
    <w:link w:val="70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6">
    <w:name w:val="Heading 7 Char"/>
    <w:link w:val="70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7">
    <w:name w:val="Heading 8"/>
    <w:basedOn w:val="871"/>
    <w:next w:val="871"/>
    <w:link w:val="70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8">
    <w:name w:val="Heading 8 Char"/>
    <w:link w:val="707"/>
    <w:uiPriority w:val="9"/>
    <w:rPr>
      <w:rFonts w:ascii="Arial" w:hAnsi="Arial" w:eastAsia="Arial" w:cs="Arial"/>
      <w:i/>
      <w:iCs/>
      <w:sz w:val="22"/>
      <w:szCs w:val="22"/>
    </w:rPr>
  </w:style>
  <w:style w:type="paragraph" w:styleId="709">
    <w:name w:val="Heading 9"/>
    <w:basedOn w:val="871"/>
    <w:next w:val="871"/>
    <w:link w:val="71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10">
    <w:name w:val="Heading 9 Char"/>
    <w:link w:val="709"/>
    <w:uiPriority w:val="9"/>
    <w:rPr>
      <w:rFonts w:ascii="Arial" w:hAnsi="Arial" w:eastAsia="Arial" w:cs="Arial"/>
      <w:i/>
      <w:iCs/>
      <w:sz w:val="21"/>
      <w:szCs w:val="21"/>
    </w:rPr>
  </w:style>
  <w:style w:type="paragraph" w:styleId="711">
    <w:name w:val="List Paragraph"/>
    <w:basedOn w:val="871"/>
    <w:uiPriority w:val="34"/>
    <w:qFormat/>
    <w:pPr>
      <w:contextualSpacing/>
      <w:ind w:left="720"/>
    </w:pPr>
  </w:style>
  <w:style w:type="paragraph" w:styleId="712">
    <w:name w:val="No Spacing"/>
    <w:uiPriority w:val="1"/>
    <w:qFormat/>
    <w:pPr>
      <w:spacing w:before="0" w:after="0" w:line="240" w:lineRule="auto"/>
    </w:pPr>
  </w:style>
  <w:style w:type="paragraph" w:styleId="713">
    <w:name w:val="Title"/>
    <w:basedOn w:val="871"/>
    <w:next w:val="871"/>
    <w:link w:val="71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14">
    <w:name w:val="Title Char"/>
    <w:link w:val="713"/>
    <w:uiPriority w:val="10"/>
    <w:rPr>
      <w:sz w:val="48"/>
      <w:szCs w:val="48"/>
    </w:rPr>
  </w:style>
  <w:style w:type="paragraph" w:styleId="715">
    <w:name w:val="Subtitle"/>
    <w:basedOn w:val="871"/>
    <w:next w:val="871"/>
    <w:link w:val="716"/>
    <w:uiPriority w:val="11"/>
    <w:qFormat/>
    <w:pPr>
      <w:spacing w:before="200" w:after="200"/>
    </w:pPr>
    <w:rPr>
      <w:sz w:val="24"/>
      <w:szCs w:val="24"/>
    </w:rPr>
  </w:style>
  <w:style w:type="character" w:styleId="716">
    <w:name w:val="Subtitle Char"/>
    <w:link w:val="715"/>
    <w:uiPriority w:val="11"/>
    <w:rPr>
      <w:sz w:val="24"/>
      <w:szCs w:val="24"/>
    </w:rPr>
  </w:style>
  <w:style w:type="paragraph" w:styleId="717">
    <w:name w:val="Quote"/>
    <w:basedOn w:val="871"/>
    <w:next w:val="871"/>
    <w:link w:val="718"/>
    <w:uiPriority w:val="29"/>
    <w:qFormat/>
    <w:pPr>
      <w:ind w:left="720" w:right="720"/>
    </w:pPr>
    <w:rPr>
      <w:i/>
    </w:rPr>
  </w:style>
  <w:style w:type="character" w:styleId="718">
    <w:name w:val="Quote Char"/>
    <w:link w:val="717"/>
    <w:uiPriority w:val="29"/>
    <w:rPr>
      <w:i/>
    </w:rPr>
  </w:style>
  <w:style w:type="paragraph" w:styleId="719">
    <w:name w:val="Intense Quote"/>
    <w:basedOn w:val="871"/>
    <w:next w:val="871"/>
    <w:link w:val="72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20">
    <w:name w:val="Intense Quote Char"/>
    <w:link w:val="719"/>
    <w:uiPriority w:val="30"/>
    <w:rPr>
      <w:i/>
    </w:rPr>
  </w:style>
  <w:style w:type="paragraph" w:styleId="721">
    <w:name w:val="Header"/>
    <w:basedOn w:val="871"/>
    <w:link w:val="72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2">
    <w:name w:val="Header Char"/>
    <w:link w:val="721"/>
    <w:uiPriority w:val="99"/>
  </w:style>
  <w:style w:type="paragraph" w:styleId="723">
    <w:name w:val="Footer"/>
    <w:basedOn w:val="871"/>
    <w:link w:val="72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24">
    <w:name w:val="Footer Char"/>
    <w:link w:val="723"/>
    <w:uiPriority w:val="99"/>
  </w:style>
  <w:style w:type="paragraph" w:styleId="725">
    <w:name w:val="Caption"/>
    <w:basedOn w:val="871"/>
    <w:next w:val="87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26">
    <w:name w:val="Caption Char"/>
    <w:basedOn w:val="725"/>
    <w:link w:val="723"/>
    <w:uiPriority w:val="99"/>
  </w:style>
  <w:style w:type="table" w:styleId="727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0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1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32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34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6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57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58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9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60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61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62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63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64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65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66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67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68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9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70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71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72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73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74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5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76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4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91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92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93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94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95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96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97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5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6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2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3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4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5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6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7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18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9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20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21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22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23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24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25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26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27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28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9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30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31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32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3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4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5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6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7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8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9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0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1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2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43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44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45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46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47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8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9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50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51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52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53">
    <w:name w:val="Hyperlink"/>
    <w:uiPriority w:val="99"/>
    <w:unhideWhenUsed/>
    <w:rPr>
      <w:color w:val="0000ff" w:themeColor="hyperlink"/>
      <w:u w:val="single"/>
    </w:rPr>
  </w:style>
  <w:style w:type="paragraph" w:styleId="854">
    <w:name w:val="footnote text"/>
    <w:basedOn w:val="871"/>
    <w:link w:val="855"/>
    <w:uiPriority w:val="99"/>
    <w:semiHidden/>
    <w:unhideWhenUsed/>
    <w:pPr>
      <w:spacing w:after="40" w:line="240" w:lineRule="auto"/>
    </w:pPr>
    <w:rPr>
      <w:sz w:val="18"/>
    </w:rPr>
  </w:style>
  <w:style w:type="character" w:styleId="855">
    <w:name w:val="Footnote Text Char"/>
    <w:link w:val="854"/>
    <w:uiPriority w:val="99"/>
    <w:rPr>
      <w:sz w:val="18"/>
    </w:rPr>
  </w:style>
  <w:style w:type="character" w:styleId="856">
    <w:name w:val="footnote reference"/>
    <w:uiPriority w:val="99"/>
    <w:unhideWhenUsed/>
    <w:rPr>
      <w:vertAlign w:val="superscript"/>
    </w:rPr>
  </w:style>
  <w:style w:type="paragraph" w:styleId="857">
    <w:name w:val="endnote text"/>
    <w:basedOn w:val="871"/>
    <w:link w:val="858"/>
    <w:uiPriority w:val="99"/>
    <w:semiHidden/>
    <w:unhideWhenUsed/>
    <w:pPr>
      <w:spacing w:after="0" w:line="240" w:lineRule="auto"/>
    </w:pPr>
    <w:rPr>
      <w:sz w:val="20"/>
    </w:rPr>
  </w:style>
  <w:style w:type="character" w:styleId="858">
    <w:name w:val="Endnote Text Char"/>
    <w:link w:val="857"/>
    <w:uiPriority w:val="99"/>
    <w:rPr>
      <w:sz w:val="20"/>
    </w:rPr>
  </w:style>
  <w:style w:type="character" w:styleId="859">
    <w:name w:val="endnote reference"/>
    <w:uiPriority w:val="99"/>
    <w:semiHidden/>
    <w:unhideWhenUsed/>
    <w:rPr>
      <w:vertAlign w:val="superscript"/>
    </w:rPr>
  </w:style>
  <w:style w:type="paragraph" w:styleId="860">
    <w:name w:val="toc 1"/>
    <w:basedOn w:val="871"/>
    <w:next w:val="871"/>
    <w:uiPriority w:val="39"/>
    <w:unhideWhenUsed/>
    <w:pPr>
      <w:ind w:left="0" w:right="0" w:firstLine="0"/>
      <w:spacing w:after="57"/>
    </w:pPr>
  </w:style>
  <w:style w:type="paragraph" w:styleId="861">
    <w:name w:val="toc 2"/>
    <w:basedOn w:val="871"/>
    <w:next w:val="871"/>
    <w:uiPriority w:val="39"/>
    <w:unhideWhenUsed/>
    <w:pPr>
      <w:ind w:left="283" w:right="0" w:firstLine="0"/>
      <w:spacing w:after="57"/>
    </w:pPr>
  </w:style>
  <w:style w:type="paragraph" w:styleId="862">
    <w:name w:val="toc 3"/>
    <w:basedOn w:val="871"/>
    <w:next w:val="871"/>
    <w:uiPriority w:val="39"/>
    <w:unhideWhenUsed/>
    <w:pPr>
      <w:ind w:left="567" w:right="0" w:firstLine="0"/>
      <w:spacing w:after="57"/>
    </w:pPr>
  </w:style>
  <w:style w:type="paragraph" w:styleId="863">
    <w:name w:val="toc 4"/>
    <w:basedOn w:val="871"/>
    <w:next w:val="871"/>
    <w:uiPriority w:val="39"/>
    <w:unhideWhenUsed/>
    <w:pPr>
      <w:ind w:left="850" w:right="0" w:firstLine="0"/>
      <w:spacing w:after="57"/>
    </w:pPr>
  </w:style>
  <w:style w:type="paragraph" w:styleId="864">
    <w:name w:val="toc 5"/>
    <w:basedOn w:val="871"/>
    <w:next w:val="871"/>
    <w:uiPriority w:val="39"/>
    <w:unhideWhenUsed/>
    <w:pPr>
      <w:ind w:left="1134" w:right="0" w:firstLine="0"/>
      <w:spacing w:after="57"/>
    </w:pPr>
  </w:style>
  <w:style w:type="paragraph" w:styleId="865">
    <w:name w:val="toc 6"/>
    <w:basedOn w:val="871"/>
    <w:next w:val="871"/>
    <w:uiPriority w:val="39"/>
    <w:unhideWhenUsed/>
    <w:pPr>
      <w:ind w:left="1417" w:right="0" w:firstLine="0"/>
      <w:spacing w:after="57"/>
    </w:pPr>
  </w:style>
  <w:style w:type="paragraph" w:styleId="866">
    <w:name w:val="toc 7"/>
    <w:basedOn w:val="871"/>
    <w:next w:val="871"/>
    <w:uiPriority w:val="39"/>
    <w:unhideWhenUsed/>
    <w:pPr>
      <w:ind w:left="1701" w:right="0" w:firstLine="0"/>
      <w:spacing w:after="57"/>
    </w:pPr>
  </w:style>
  <w:style w:type="paragraph" w:styleId="867">
    <w:name w:val="toc 8"/>
    <w:basedOn w:val="871"/>
    <w:next w:val="871"/>
    <w:uiPriority w:val="39"/>
    <w:unhideWhenUsed/>
    <w:pPr>
      <w:ind w:left="1984" w:right="0" w:firstLine="0"/>
      <w:spacing w:after="57"/>
    </w:pPr>
  </w:style>
  <w:style w:type="paragraph" w:styleId="868">
    <w:name w:val="toc 9"/>
    <w:basedOn w:val="871"/>
    <w:next w:val="871"/>
    <w:uiPriority w:val="39"/>
    <w:unhideWhenUsed/>
    <w:pPr>
      <w:ind w:left="2268" w:right="0" w:firstLine="0"/>
      <w:spacing w:after="57"/>
    </w:pPr>
  </w:style>
  <w:style w:type="paragraph" w:styleId="869">
    <w:name w:val="TOC Heading"/>
    <w:uiPriority w:val="39"/>
    <w:unhideWhenUsed/>
  </w:style>
  <w:style w:type="paragraph" w:styleId="870">
    <w:name w:val="table of figures"/>
    <w:basedOn w:val="871"/>
    <w:next w:val="871"/>
    <w:uiPriority w:val="99"/>
    <w:unhideWhenUsed/>
    <w:pPr>
      <w:spacing w:after="0" w:afterAutospacing="0"/>
    </w:pPr>
  </w:style>
  <w:style w:type="paragraph" w:styleId="871" w:default="1">
    <w:name w:val="Normal"/>
    <w:next w:val="871"/>
    <w:link w:val="871"/>
    <w:qFormat/>
    <w:pPr>
      <w:spacing w:after="160" w:line="259" w:lineRule="auto"/>
    </w:pPr>
    <w:rPr>
      <w:sz w:val="22"/>
      <w:szCs w:val="22"/>
      <w:lang w:val="ru-RU" w:eastAsia="en-US" w:bidi="ar-SA"/>
    </w:rPr>
  </w:style>
  <w:style w:type="character" w:styleId="872">
    <w:name w:val="Основной шрифт абзаца"/>
    <w:next w:val="872"/>
    <w:link w:val="871"/>
    <w:uiPriority w:val="1"/>
    <w:semiHidden/>
    <w:unhideWhenUsed/>
  </w:style>
  <w:style w:type="table" w:styleId="873">
    <w:name w:val="Обычная таблица"/>
    <w:next w:val="873"/>
    <w:link w:val="871"/>
    <w:uiPriority w:val="99"/>
    <w:semiHidden/>
    <w:unhideWhenUsed/>
    <w:tblPr/>
  </w:style>
  <w:style w:type="numbering" w:styleId="874">
    <w:name w:val="Нет списка"/>
    <w:next w:val="874"/>
    <w:link w:val="871"/>
    <w:uiPriority w:val="99"/>
    <w:semiHidden/>
    <w:unhideWhenUsed/>
  </w:style>
  <w:style w:type="paragraph" w:styleId="875">
    <w:name w:val="Текст выноски"/>
    <w:basedOn w:val="871"/>
    <w:next w:val="875"/>
    <w:link w:val="87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76">
    <w:name w:val="Текст выноски Знак"/>
    <w:next w:val="876"/>
    <w:link w:val="875"/>
    <w:uiPriority w:val="99"/>
    <w:semiHidden/>
    <w:rPr>
      <w:rFonts w:ascii="Segoe UI" w:hAnsi="Segoe UI" w:cs="Segoe UI"/>
      <w:sz w:val="18"/>
      <w:szCs w:val="18"/>
    </w:rPr>
  </w:style>
  <w:style w:type="paragraph" w:styleId="877">
    <w:name w:val="Абзац списка"/>
    <w:basedOn w:val="871"/>
    <w:next w:val="877"/>
    <w:link w:val="871"/>
    <w:uiPriority w:val="34"/>
    <w:qFormat/>
    <w:pPr>
      <w:contextualSpacing/>
      <w:ind w:left="720"/>
    </w:pPr>
  </w:style>
  <w:style w:type="table" w:styleId="878">
    <w:name w:val="Сетка таблицы"/>
    <w:basedOn w:val="873"/>
    <w:next w:val="878"/>
    <w:link w:val="871"/>
    <w:uiPriority w:val="39"/>
    <w:pPr>
      <w:spacing w:after="0" w:line="240" w:lineRule="auto"/>
    </w:pPr>
    <w:tblPr/>
  </w:style>
  <w:style w:type="paragraph" w:styleId="879">
    <w:name w:val="Обычный (веб)"/>
    <w:basedOn w:val="871"/>
    <w:next w:val="879"/>
    <w:link w:val="871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80">
    <w:name w:val="Гиперссылка"/>
    <w:next w:val="880"/>
    <w:link w:val="871"/>
    <w:uiPriority w:val="99"/>
    <w:unhideWhenUsed/>
    <w:rPr>
      <w:color w:val="0563c1"/>
      <w:u w:val="single"/>
    </w:rPr>
  </w:style>
  <w:style w:type="character" w:styleId="881" w:default="1">
    <w:name w:val="Default Paragraph Font"/>
    <w:uiPriority w:val="1"/>
    <w:semiHidden/>
    <w:unhideWhenUsed/>
  </w:style>
  <w:style w:type="numbering" w:styleId="882" w:default="1">
    <w:name w:val="No List"/>
    <w:uiPriority w:val="99"/>
    <w:semiHidden/>
    <w:unhideWhenUsed/>
  </w:style>
  <w:style w:type="table" w:styleId="88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ГКУ НСО "УКСиС"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Калюжная Юлия Игоревна</dc:creator>
  <cp:revision>8</cp:revision>
  <dcterms:created xsi:type="dcterms:W3CDTF">2022-02-11T07:09:00Z</dcterms:created>
  <dcterms:modified xsi:type="dcterms:W3CDTF">2025-05-05T04:07:52Z</dcterms:modified>
  <cp:version>1048576</cp:version>
</cp:coreProperties>
</file>