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Style w:val="888"/>
        <w:tblW w:w="0" w:type="auto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ook w:val="04A0" w:firstRow="1" w:lastRow="0" w:firstColumn="1" w:lastColumn="0" w:noHBand="0" w:noVBand="1"/>
      </w:tblPr>
      <w:tblGrid>
        <w:gridCol w:w="4450"/>
        <w:gridCol w:w="5197"/>
      </w:tblGrid>
      <w:tr>
        <w:tblPrEx/>
        <w:trPr>
          <w:trHeight w:val="3512"/>
        </w:trPr>
        <w:tc>
          <w:tcPr>
            <w:tcW w:w="4450" w:type="dxa"/>
            <w:textDirection w:val="lrTb"/>
            <w:noWrap w:val="false"/>
          </w:tcPr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15185" cy="1786255"/>
                      <wp:effectExtent l="0" t="0" r="0" b="4445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8245385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5184" cy="178625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66.55pt;height:140.65pt;mso-wrap-distance-left:0.00pt;mso-wrap-distance-top:0.00pt;mso-wrap-distance-right:0.00pt;mso-wrap-distance-bottom:0.0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  <w:tc>
          <w:tcPr>
            <w:tcW w:w="5197" w:type="dxa"/>
            <w:textDirection w:val="lrTb"/>
            <w:noWrap w:val="false"/>
          </w:tcPr>
          <w:p>
            <w:r>
              <w:rPr>
                <w:b/>
                <w:sz w:val="28"/>
                <w:szCs w:val="28"/>
              </w:rPr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535305</wp:posOffset>
                      </wp:positionH>
                      <wp:positionV relativeFrom="paragraph">
                        <wp:posOffset>208315</wp:posOffset>
                      </wp:positionV>
                      <wp:extent cx="2282899" cy="1009074"/>
                      <wp:effectExtent l="4762" t="4762" r="4762" b="4762"/>
                      <wp:wrapNone/>
                      <wp:docPr id="2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741348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2282898" cy="10090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position:absolute;z-index:251659264;o:allowoverlap:true;o:allowincell:true;mso-position-horizontal-relative:text;margin-left:42.15pt;mso-position-horizontal:absolute;mso-position-vertical-relative:text;margin-top:16.40pt;mso-position-vertical:absolute;width:179.76pt;height:79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r>
              <w:rPr>
                <w:b/>
                <w:sz w:val="28"/>
                <w:szCs w:val="28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5135880</wp:posOffset>
                      </wp:positionH>
                      <wp:positionV relativeFrom="paragraph">
                        <wp:posOffset>140970</wp:posOffset>
                      </wp:positionV>
                      <wp:extent cx="1248410" cy="551815"/>
                      <wp:effectExtent l="0" t="0" r="0" b="0"/>
                      <wp:wrapNone/>
                      <wp:docPr id="3" name="Рисунок 4" descr="C:\Users\user\Pictures\ИТОГ_11_rt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6338179" name="Рисунок 4" descr="C:\Users\user\Pictures\ИТОГ_11_rts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0" flipH="0" flipV="0">
                                <a:off x="0" y="0"/>
                                <a:ext cx="1248409" cy="551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rotation:0;" stroked="f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  <w:p>
            <w:pPr>
              <w:jc w:val="center"/>
              <w:rPr>
                <w:sz w:val="32"/>
              </w:rPr>
            </w:pPr>
            <w:r>
              <w:rPr>
                <w:sz w:val="32"/>
              </w:rPr>
            </w:r>
            <w:r>
              <w:rPr>
                <w:sz w:val="32"/>
              </w:rPr>
            </w:r>
            <w:r>
              <w:rPr>
                <w:sz w:val="32"/>
              </w:rPr>
            </w:r>
          </w:p>
        </w:tc>
      </w:tr>
    </w:tbl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Уважаемые коллеги!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Государственное казенное учреждение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Новосибирской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области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Управление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контрактной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 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системы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 (ГКУ НСО «</w:t>
      </w:r>
      <w:r>
        <w:rPr>
          <w:rFonts w:ascii="Times New Roman" w:hAnsi="Times New Roman" w:cs="Times New Roman" w:eastAsiaTheme="minorHAnsi"/>
          <w:b/>
          <w:bCs/>
          <w:color w:val="000000" w:themeColor="text1"/>
          <w:sz w:val="32"/>
          <w:szCs w:val="32"/>
          <w:shd w:val="clear" w:color="auto" w:fill="ffffff"/>
          <w:lang w:eastAsia="en-US"/>
        </w:rPr>
        <w:t xml:space="preserve">УКСис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  <w:t xml:space="preserve">») </w:t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shd w:val="clear" w:color="auto" w:fill="ffffff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shd w:val="clear" w:color="auto" w:fill="ffffff"/>
          <w:lang w:eastAsia="en-US"/>
        </w:rPr>
        <w:t xml:space="preserve">совместно с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электронной площадкой 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«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РТС-тендер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»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приглашает Вас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19 марта 2026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 года в 10-00 (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Н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ск</w:t>
      </w:r>
      <w:r>
        <w:rPr>
          <w:rFonts w:ascii="Times New Roman" w:hAnsi="Times New Roman" w:cs="Times New Roman" w:eastAsiaTheme="minorHAnsi"/>
          <w:b/>
          <w:sz w:val="32"/>
          <w:szCs w:val="24"/>
          <w:lang w:eastAsia="en-US"/>
        </w:rPr>
        <w:t xml:space="preserve">)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24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24"/>
          <w:lang w:eastAsia="en-US"/>
        </w:rPr>
        <w:t xml:space="preserve">на бесплатный очный семинар:</w:t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24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«Поставщики госзакупок. 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Особенности участия в закупках в 2026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  <w:t xml:space="preserve"> году»</w:t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b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</w:rPr>
      </w:pPr>
      <w:r>
        <w:rPr>
          <w:rFonts w:ascii="Times New Roman" w:hAnsi="Times New Roman" w:cs="Times New Roman" w:eastAsiaTheme="minorHAnsi"/>
          <w:b/>
          <w:color w:val="000000" w:themeColor="text1"/>
          <w:sz w:val="32"/>
          <w:szCs w:val="32"/>
          <w:highlight w:val="white"/>
          <w:lang w:eastAsia="en-US"/>
        </w:rPr>
        <w:t xml:space="preserve">Обязательная! </w:t>
      </w:r>
      <w:r>
        <w:rPr>
          <w:rFonts w:ascii="Times New Roman" w:hAnsi="Times New Roman" w:cs="Times New Roman" w:eastAsiaTheme="minorHAnsi"/>
          <w:color w:val="000000" w:themeColor="text1"/>
          <w:sz w:val="32"/>
          <w:szCs w:val="32"/>
          <w:highlight w:val="white"/>
          <w:lang w:eastAsia="en-US"/>
        </w:rPr>
        <w:t xml:space="preserve">предварительная регистрация по ссылке:</w:t>
      </w:r>
      <w:r>
        <w:rPr>
          <w:rFonts w:ascii="Times New Roman" w:hAnsi="Times New Roman" w:cs="Times New Roman" w:eastAsiaTheme="minorHAnsi"/>
          <w:sz w:val="32"/>
          <w:szCs w:val="32"/>
          <w:highlight w:val="whit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hyperlink r:id="rId12" w:tooltip="https://forms.yandex.ru/u/6982e51f6d2d73f404c942b6" w:history="1"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  <w:lang w:eastAsia="en-US"/>
          </w:rPr>
          <w:t xml:space="preserve">https://forms.yandex.ru/u/6982e51f6d2d73f404c942b6</w:t>
        </w:r>
        <w:r>
          <w:rPr>
            <w:rStyle w:val="883"/>
            <w:rFonts w:ascii="Times New Roman" w:hAnsi="Times New Roman" w:cs="Times New Roman" w:eastAsiaTheme="minorHAnsi"/>
            <w:sz w:val="32"/>
            <w:szCs w:val="32"/>
            <w:highlight w:val="none"/>
            <w:lang w:eastAsia="en-US"/>
          </w:rPr>
        </w:r>
      </w:hyperlink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Адрес: г. Новосибирск, ул.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Фрунзе, 88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,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каб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. 408.</w:t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highlight w:val="none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(в здании имеются два входа, с улицы Ольги Жилиной и с улицы Фрунзе.)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Р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екомендуем участие для тех, кто впервые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планирует 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jc w:val="center"/>
        <w:spacing w:after="0" w:line="360" w:lineRule="auto"/>
        <w:rPr>
          <w:rFonts w:ascii="Times New Roman" w:hAnsi="Times New Roman" w:cs="Times New Roman" w:eastAsiaTheme="minorHAnsi"/>
          <w:sz w:val="32"/>
          <w:szCs w:val="32"/>
          <w:lang w:eastAsia="en-US"/>
        </w:rPr>
      </w:pPr>
      <w:r>
        <w:rPr>
          <w:rFonts w:ascii="Times New Roman" w:hAnsi="Times New Roman" w:cs="Times New Roman" w:eastAsiaTheme="minorHAnsi"/>
          <w:sz w:val="32"/>
          <w:szCs w:val="32"/>
          <w:lang w:eastAsia="en-US"/>
        </w:rPr>
        <w:t xml:space="preserve">участвовать в закупках.</w:t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  <w:r>
        <w:rPr>
          <w:rFonts w:ascii="Times New Roman" w:hAnsi="Times New Roman" w:cs="Times New Roman" w:eastAsiaTheme="minorHAnsi"/>
          <w:sz w:val="32"/>
          <w:szCs w:val="32"/>
          <w:lang w:eastAsia="en-US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left="0" w:right="-1"/>
        <w:jc w:val="left"/>
        <w:shd w:val="clear" w:color="auto" w:fill="ffffff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140970</wp:posOffset>
                </wp:positionV>
                <wp:extent cx="1248410" cy="551815"/>
                <wp:effectExtent l="0" t="0" r="8890" b="635"/>
                <wp:wrapNone/>
                <wp:docPr id="4" name="Рисунок 4" descr="C:\Users\user\Pictures\ИТОГ_11_rt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 descr="C:\Users\user\Pictures\ИТОГ_11_rts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248409" cy="551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59264;o:allowoverlap:true;o:allowincell:true;mso-position-horizontal-relative:text;margin-left:404.40pt;mso-position-horizontal:absolute;mso-position-vertical-relative:text;margin-top:11.10pt;mso-position-vertical:absolute;width:98.30pt;height:43.45pt;mso-wrap-distance-left:9.00pt;mso-wrap-distance-top:0.00pt;mso-wrap-distance-right:9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47090" cy="825500"/>
                <wp:effectExtent l="0" t="0" r="0" b="0"/>
                <wp:wrapNone/>
                <wp:docPr id="5" name="Рисунок 1" descr="D:\УКСИС_логотип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" descr="D:\УКСИС_логотип_00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4709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0288;o:allowoverlap:true;o:allowincell:true;mso-position-horizontal-relative:text;margin-left:0.00pt;mso-position-horizontal:absolute;mso-position-vertical-relative:text;margin-top:0.00pt;mso-position-vertical:absolute;width:66.70pt;height:65.00pt;mso-wrap-distance-left:9.00pt;mso-wrap-distance-top:0.00pt;mso-wrap-distance-right:9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149225</wp:posOffset>
                </wp:positionV>
                <wp:extent cx="1534794" cy="556894"/>
                <wp:effectExtent l="0" t="0" r="889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4" cy="55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Государственное казенное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учреждение Новосибирской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области «Управление 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  <w:p>
                            <w:pPr>
                              <w:pStyle w:val="882"/>
                              <w:ind w:left="-142"/>
                              <w:spacing w:before="0" w:beforeAutospacing="0" w:after="0" w:afterAutospacing="0" w:line="312" w:lineRule="auto"/>
                              <w:shd w:val="clear" w:color="auto" w:fill="ffffff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контрактной системы»</w:t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  <w:r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251661312;o:allowoverlap:true;o:allowincell:true;mso-position-horizontal-relative:text;margin-left:60.15pt;mso-position-horizontal:absolute;mso-position-vertical-relative:text;margin-top:11.75pt;mso-position-vertical:absolute;width:120.85pt;height:43.85pt;mso-wrap-distance-left:9.00pt;mso-wrap-distance-top:0.00pt;mso-wrap-distance-right:9.00pt;mso-wrap-distance-bottom:0.00pt;v-text-anchor:top;visibility:visible;" fillcolor="#FFFFFF" stroked="f" strokeweight="0.75pt">
                <v:textbox inset="0,0,0,0">
                  <w:txbxContent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Государственное казенное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учреждение Новосибирской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области «Управление 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  <w:p>
                      <w:pPr>
                        <w:pStyle w:val="882"/>
                        <w:ind w:left="-142"/>
                        <w:spacing w:before="0" w:beforeAutospacing="0" w:after="0" w:afterAutospacing="0" w:line="312" w:lineRule="auto"/>
                        <w:shd w:val="clear" w:color="auto" w:fill="ffffff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контрактной системы»</w:t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  <w:r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82"/>
        <w:ind w:right="-1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spacing w:after="0" w:afterAutospacing="0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left="-142" w:right="-1"/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РОГРАММА СЕМИНАРА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«Поставщики госзакупок.</w:t>
      </w:r>
      <w:r>
        <w:rPr>
          <w:b/>
          <w:bCs/>
          <w:color w:val="000000"/>
          <w:sz w:val="32"/>
          <w:szCs w:val="32"/>
        </w:rPr>
      </w:r>
      <w:r>
        <w:rPr>
          <w:b/>
          <w:bCs/>
          <w:color w:val="000000"/>
          <w:sz w:val="32"/>
          <w:szCs w:val="32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Особенности участия в закупках в 2026</w:t>
      </w:r>
      <w:r>
        <w:rPr>
          <w:b/>
          <w:color w:val="000000"/>
          <w:sz w:val="32"/>
          <w:szCs w:val="28"/>
        </w:rPr>
        <w:t xml:space="preserve"> году</w:t>
      </w:r>
      <w:r>
        <w:rPr>
          <w:b/>
          <w:color w:val="000000"/>
          <w:sz w:val="32"/>
          <w:szCs w:val="28"/>
        </w:rPr>
        <w:t xml:space="preserve">»</w:t>
      </w:r>
      <w:r>
        <w:rPr>
          <w:b/>
          <w:bCs/>
          <w:color w:val="000000"/>
          <w:sz w:val="32"/>
          <w:szCs w:val="32"/>
        </w:rPr>
      </w:r>
      <w:r>
        <w:rPr>
          <w:b/>
          <w:bCs/>
          <w:color w:val="000000"/>
          <w:sz w:val="32"/>
          <w:szCs w:val="32"/>
        </w:rPr>
      </w:r>
    </w:p>
    <w:p>
      <w:pPr>
        <w:pStyle w:val="882"/>
        <w:ind w:right="139"/>
        <w:jc w:val="center"/>
        <w:spacing w:before="0" w:beforeAutospacing="0" w:after="0" w:afterAutospacing="0"/>
        <w:shd w:val="clear" w:color="auto" w:fill="ffffff"/>
        <w:rPr>
          <w:b/>
          <w:bCs/>
          <w:color w:val="000000"/>
          <w:sz w:val="14"/>
          <w:szCs w:val="14"/>
        </w:rPr>
      </w:pPr>
      <w:r>
        <w:rPr>
          <w:b/>
          <w:color w:val="000000"/>
          <w:sz w:val="14"/>
          <w:szCs w:val="12"/>
          <w:highlight w:val="none"/>
        </w:rPr>
      </w:r>
      <w:r>
        <w:rPr>
          <w:b/>
          <w:bCs/>
          <w:color w:val="000000"/>
          <w:sz w:val="14"/>
          <w:szCs w:val="14"/>
        </w:rPr>
      </w:r>
      <w:r>
        <w:rPr>
          <w:b/>
          <w:bCs/>
          <w:color w:val="000000"/>
          <w:sz w:val="14"/>
          <w:szCs w:val="14"/>
        </w:rPr>
      </w:r>
    </w:p>
    <w:p>
      <w:pPr>
        <w:ind w:right="-2"/>
        <w:jc w:val="both"/>
        <w:spacing w:after="0" w:line="240" w:lineRule="auto"/>
        <w:tabs>
          <w:tab w:val="left" w:pos="9355" w:leader="none"/>
        </w:tabs>
      </w:pPr>
      <w:r/>
      <w:r/>
    </w:p>
    <w:tbl>
      <w:tblPr>
        <w:tblStyle w:val="88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4820"/>
        <w:gridCol w:w="3680"/>
      </w:tblGrid>
      <w:tr>
        <w:tblPrEx/>
        <w:trPr>
          <w:jc w:val="center"/>
          <w:trHeight w:val="750"/>
        </w:trPr>
        <w:tc>
          <w:tcPr>
            <w:gridSpan w:val="3"/>
            <w:shd w:val="clear" w:color="auto" w:fill="d9d9d9" w:themeFill="background1" w:themeFillShade="D9"/>
            <w:tcW w:w="10196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cs="Times New Roman"/>
                <w:sz w:val="24"/>
                <w:szCs w:val="24"/>
              </w:rPr>
              <w:outlineLvl w:val="2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 место проведения мероприятия: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ind w:left="-108" w:right="284"/>
              <w:jc w:val="center"/>
              <w:spacing w:line="278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Новосибирск, 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Фрунзе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88, к. 408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0"/>
                <w:sz w:val="24"/>
                <w:szCs w:val="24"/>
                <w:lang w:eastAsia="ru-RU"/>
              </w:rPr>
              <w:t xml:space="preserve">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-108" w:right="281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Наименование процедуры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tcW w:w="36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outlineLvl w:val="2"/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Докладчик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782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–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317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jc w:val="center"/>
          <w:trHeight w:val="16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00 - 10:40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 в торгах для субъектов малого предпринимательства: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Подача заявки на участие и ее особенности по электронным конкурсам, электронным аукционам;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составу и содержанию заявки на участие;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4"/>
              </w:numPr>
              <w:ind w:left="0" w:right="0" w:firstLine="0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заполнению заявки на участие.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Хербер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Вик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тория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Але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сеевна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заместитель начальника отдела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закуп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ГКУ НСО «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УКСис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</w:r>
          </w:p>
          <w:p>
            <w:pPr>
              <w:ind w:firstLine="709"/>
              <w:jc w:val="center"/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509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10:40 -10:50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pStyle w:val="880"/>
              <w:ind w:left="34"/>
              <w:jc w:val="both"/>
              <w:tabs>
                <w:tab w:val="left" w:pos="31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Перерыв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2118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10:50 – 11:50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электронных процедурах на площадке «РТС-тендер: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Актуальные виды электронных процедур для участников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Особенности закупок у единственного поставщика (закупки по п. 4, п. 5 ч. 1 и ч. 12 статьи 93 44-ФЗ)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Обзор основных разделов личного кабинета участника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pStyle w:val="880"/>
              <w:numPr>
                <w:ilvl w:val="0"/>
                <w:numId w:val="23"/>
              </w:numPr>
              <w:ind w:left="0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Участие в электронном аукционе и запросе котировок по 44-ФЗ: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подача заявки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участие в аукционном торге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shd w:val="clear" w:color="ffffff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- заключение контракта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ind w:left="709"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highlight w:val="white"/>
              </w:rPr>
              <w:t xml:space="preserve">Рубцов Иван Александрович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  <w:t xml:space="preserve"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руководитель отделения ООО «РТС-тендер» по Новосибирской области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none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blPrEx/>
        <w:trPr>
          <w:jc w:val="center"/>
          <w:trHeight w:val="385"/>
        </w:trPr>
        <w:tc>
          <w:tcPr>
            <w:tcW w:w="169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11:50 – 12:0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4820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участников семинара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68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  <w:r>
        <w:rPr>
          <w:rFonts w:ascii="Times New Roman" w:hAnsi="Times New Roman" w:cs="Times New Roman"/>
          <w:sz w:val="28"/>
        </w:rPr>
      </w:r>
    </w:p>
    <w:p>
      <w:r/>
      <w:r/>
    </w:p>
    <w:sectPr>
      <w:footnotePr/>
      <w:endnotePr/>
      <w:type w:val="nextPage"/>
      <w:pgSz w:w="11906" w:h="16838" w:orient="portrait"/>
      <w:pgMar w:top="567" w:right="566" w:bottom="284" w:left="1134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Segoe UI">
    <w:panose1 w:val="020B0502040504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7"/>
      <w:numFmt w:val="bullet"/>
      <w:isLgl w:val="false"/>
      <w:suff w:val="tab"/>
      <w:lvlText w:val=""/>
      <w:lvlJc w:val="left"/>
      <w:pPr>
        <w:ind w:left="2340" w:hanging="360"/>
      </w:pPr>
      <w:rPr>
        <w:rFonts w:hint="default" w:ascii="Symbol" w:hAnsi="Symbol" w:eastAsiaTheme="minorHAnsi" w:cstheme="minorBidi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1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3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5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7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9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1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3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53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2"/>
  </w:num>
  <w:num w:numId="3">
    <w:abstractNumId w:val="14"/>
  </w:num>
  <w:num w:numId="4">
    <w:abstractNumId w:val="9"/>
  </w:num>
  <w:num w:numId="5">
    <w:abstractNumId w:val="20"/>
  </w:num>
  <w:num w:numId="6">
    <w:abstractNumId w:val="12"/>
  </w:num>
  <w:num w:numId="7">
    <w:abstractNumId w:val="10"/>
  </w:num>
  <w:num w:numId="8">
    <w:abstractNumId w:val="3"/>
  </w:num>
  <w:num w:numId="9">
    <w:abstractNumId w:val="4"/>
  </w:num>
  <w:num w:numId="10">
    <w:abstractNumId w:val="1"/>
  </w:num>
  <w:num w:numId="11">
    <w:abstractNumId w:val="13"/>
  </w:num>
  <w:num w:numId="12">
    <w:abstractNumId w:val="16"/>
  </w:num>
  <w:num w:numId="13">
    <w:abstractNumId w:val="0"/>
  </w:num>
  <w:num w:numId="14">
    <w:abstractNumId w:val="19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8"/>
  </w:num>
  <w:num w:numId="18">
    <w:abstractNumId w:val="7"/>
  </w:num>
  <w:num w:numId="19">
    <w:abstractNumId w:val="17"/>
  </w:num>
  <w:num w:numId="20">
    <w:abstractNumId w:val="5"/>
  </w:num>
  <w:num w:numId="21">
    <w:abstractNumId w:val="11"/>
  </w:num>
  <w:num w:numId="22">
    <w:abstractNumId w:val="15"/>
  </w:num>
  <w:num w:numId="23">
    <w:abstractNumId w:val="21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1">
    <w:name w:val="Heading 1"/>
    <w:basedOn w:val="874"/>
    <w:next w:val="874"/>
    <w:link w:val="70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02">
    <w:name w:val="Heading 1 Char"/>
    <w:basedOn w:val="875"/>
    <w:link w:val="701"/>
    <w:uiPriority w:val="9"/>
    <w:rPr>
      <w:rFonts w:ascii="Arial" w:hAnsi="Arial" w:eastAsia="Arial" w:cs="Arial"/>
      <w:sz w:val="40"/>
      <w:szCs w:val="40"/>
    </w:rPr>
  </w:style>
  <w:style w:type="paragraph" w:styleId="703">
    <w:name w:val="Heading 2"/>
    <w:basedOn w:val="874"/>
    <w:next w:val="874"/>
    <w:link w:val="70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04">
    <w:name w:val="Heading 2 Char"/>
    <w:basedOn w:val="875"/>
    <w:link w:val="703"/>
    <w:uiPriority w:val="9"/>
    <w:rPr>
      <w:rFonts w:ascii="Arial" w:hAnsi="Arial" w:eastAsia="Arial" w:cs="Arial"/>
      <w:sz w:val="34"/>
    </w:rPr>
  </w:style>
  <w:style w:type="paragraph" w:styleId="705">
    <w:name w:val="Heading 3"/>
    <w:basedOn w:val="874"/>
    <w:next w:val="874"/>
    <w:link w:val="70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06">
    <w:name w:val="Heading 3 Char"/>
    <w:basedOn w:val="875"/>
    <w:link w:val="705"/>
    <w:uiPriority w:val="9"/>
    <w:rPr>
      <w:rFonts w:ascii="Arial" w:hAnsi="Arial" w:eastAsia="Arial" w:cs="Arial"/>
      <w:sz w:val="30"/>
      <w:szCs w:val="30"/>
    </w:rPr>
  </w:style>
  <w:style w:type="paragraph" w:styleId="707">
    <w:name w:val="Heading 4"/>
    <w:basedOn w:val="874"/>
    <w:next w:val="874"/>
    <w:link w:val="70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08">
    <w:name w:val="Heading 4 Char"/>
    <w:basedOn w:val="875"/>
    <w:link w:val="707"/>
    <w:uiPriority w:val="9"/>
    <w:rPr>
      <w:rFonts w:ascii="Arial" w:hAnsi="Arial" w:eastAsia="Arial" w:cs="Arial"/>
      <w:b/>
      <w:bCs/>
      <w:sz w:val="26"/>
      <w:szCs w:val="26"/>
    </w:rPr>
  </w:style>
  <w:style w:type="paragraph" w:styleId="709">
    <w:name w:val="Heading 5"/>
    <w:basedOn w:val="874"/>
    <w:next w:val="874"/>
    <w:link w:val="71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0">
    <w:name w:val="Heading 5 Char"/>
    <w:basedOn w:val="875"/>
    <w:link w:val="709"/>
    <w:uiPriority w:val="9"/>
    <w:rPr>
      <w:rFonts w:ascii="Arial" w:hAnsi="Arial" w:eastAsia="Arial" w:cs="Arial"/>
      <w:b/>
      <w:bCs/>
      <w:sz w:val="24"/>
      <w:szCs w:val="24"/>
    </w:rPr>
  </w:style>
  <w:style w:type="paragraph" w:styleId="711">
    <w:name w:val="Heading 6"/>
    <w:basedOn w:val="874"/>
    <w:next w:val="874"/>
    <w:link w:val="71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2">
    <w:name w:val="Heading 6 Char"/>
    <w:basedOn w:val="875"/>
    <w:link w:val="711"/>
    <w:uiPriority w:val="9"/>
    <w:rPr>
      <w:rFonts w:ascii="Arial" w:hAnsi="Arial" w:eastAsia="Arial" w:cs="Arial"/>
      <w:b/>
      <w:bCs/>
      <w:sz w:val="22"/>
      <w:szCs w:val="22"/>
    </w:rPr>
  </w:style>
  <w:style w:type="paragraph" w:styleId="713">
    <w:name w:val="Heading 7"/>
    <w:basedOn w:val="874"/>
    <w:next w:val="874"/>
    <w:link w:val="71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14">
    <w:name w:val="Heading 7 Char"/>
    <w:basedOn w:val="875"/>
    <w:link w:val="71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5">
    <w:name w:val="Heading 8"/>
    <w:basedOn w:val="874"/>
    <w:next w:val="874"/>
    <w:link w:val="71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6">
    <w:name w:val="Heading 8 Char"/>
    <w:basedOn w:val="875"/>
    <w:link w:val="715"/>
    <w:uiPriority w:val="9"/>
    <w:rPr>
      <w:rFonts w:ascii="Arial" w:hAnsi="Arial" w:eastAsia="Arial" w:cs="Arial"/>
      <w:i/>
      <w:iCs/>
      <w:sz w:val="22"/>
      <w:szCs w:val="22"/>
    </w:rPr>
  </w:style>
  <w:style w:type="paragraph" w:styleId="717">
    <w:name w:val="Heading 9"/>
    <w:basedOn w:val="874"/>
    <w:next w:val="874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8">
    <w:name w:val="Heading 9 Char"/>
    <w:basedOn w:val="875"/>
    <w:link w:val="717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No Spacing"/>
    <w:uiPriority w:val="1"/>
    <w:qFormat/>
    <w:pPr>
      <w:spacing w:before="0" w:after="0" w:line="240" w:lineRule="auto"/>
    </w:pPr>
  </w:style>
  <w:style w:type="paragraph" w:styleId="720">
    <w:name w:val="Title"/>
    <w:basedOn w:val="874"/>
    <w:next w:val="874"/>
    <w:link w:val="72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1">
    <w:name w:val="Title Char"/>
    <w:basedOn w:val="875"/>
    <w:link w:val="720"/>
    <w:uiPriority w:val="10"/>
    <w:rPr>
      <w:sz w:val="48"/>
      <w:szCs w:val="48"/>
    </w:rPr>
  </w:style>
  <w:style w:type="paragraph" w:styleId="722">
    <w:name w:val="Subtitle"/>
    <w:basedOn w:val="874"/>
    <w:next w:val="874"/>
    <w:link w:val="723"/>
    <w:uiPriority w:val="11"/>
    <w:qFormat/>
    <w:pPr>
      <w:spacing w:before="200" w:after="200"/>
    </w:pPr>
    <w:rPr>
      <w:sz w:val="24"/>
      <w:szCs w:val="24"/>
    </w:rPr>
  </w:style>
  <w:style w:type="character" w:styleId="723">
    <w:name w:val="Subtitle Char"/>
    <w:basedOn w:val="875"/>
    <w:link w:val="722"/>
    <w:uiPriority w:val="11"/>
    <w:rPr>
      <w:sz w:val="24"/>
      <w:szCs w:val="24"/>
    </w:rPr>
  </w:style>
  <w:style w:type="paragraph" w:styleId="724">
    <w:name w:val="Quote"/>
    <w:basedOn w:val="874"/>
    <w:next w:val="874"/>
    <w:link w:val="725"/>
    <w:uiPriority w:val="29"/>
    <w:qFormat/>
    <w:pPr>
      <w:ind w:left="720" w:right="720"/>
    </w:pPr>
    <w:rPr>
      <w:i/>
    </w:rPr>
  </w:style>
  <w:style w:type="character" w:styleId="725">
    <w:name w:val="Quote Char"/>
    <w:link w:val="724"/>
    <w:uiPriority w:val="29"/>
    <w:rPr>
      <w:i/>
    </w:rPr>
  </w:style>
  <w:style w:type="paragraph" w:styleId="726">
    <w:name w:val="Intense Quote"/>
    <w:basedOn w:val="874"/>
    <w:next w:val="874"/>
    <w:link w:val="72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7">
    <w:name w:val="Intense Quote Char"/>
    <w:link w:val="726"/>
    <w:uiPriority w:val="30"/>
    <w:rPr>
      <w:i/>
    </w:rPr>
  </w:style>
  <w:style w:type="character" w:styleId="728">
    <w:name w:val="Header Char"/>
    <w:basedOn w:val="875"/>
    <w:link w:val="884"/>
    <w:uiPriority w:val="99"/>
  </w:style>
  <w:style w:type="character" w:styleId="729">
    <w:name w:val="Footer Char"/>
    <w:basedOn w:val="875"/>
    <w:link w:val="886"/>
    <w:uiPriority w:val="99"/>
  </w:style>
  <w:style w:type="paragraph" w:styleId="730">
    <w:name w:val="Caption"/>
    <w:basedOn w:val="874"/>
    <w:next w:val="874"/>
    <w:link w:val="7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31">
    <w:name w:val="Caption Char"/>
    <w:basedOn w:val="730"/>
    <w:link w:val="886"/>
    <w:uiPriority w:val="99"/>
  </w:style>
  <w:style w:type="table" w:styleId="732">
    <w:name w:val="Table Grid Light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3">
    <w:name w:val="Plain Table 1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4">
    <w:name w:val="Plain Table 2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5">
    <w:name w:val="Plain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6">
    <w:name w:val="Plain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Plain Table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8">
    <w:name w:val="Grid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Grid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Grid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Grid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0">
    <w:name w:val="Grid Table 4 - Accent 1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1">
    <w:name w:val="Grid Table 4 - Accent 2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Grid Table 4 - Accent 3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3">
    <w:name w:val="Grid Table 4 - Accent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Grid Table 4 - Accent 5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5">
    <w:name w:val="Grid Table 4 - Accent 6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6">
    <w:name w:val="Grid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7">
    <w:name w:val="Grid Table 5 Dark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68">
    <w:name w:val="Grid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69">
    <w:name w:val="Grid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70">
    <w:name w:val="Grid Table 5 Dark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71">
    <w:name w:val="Grid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73">
    <w:name w:val="Grid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4">
    <w:name w:val="Grid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5">
    <w:name w:val="Grid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6">
    <w:name w:val="Grid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7">
    <w:name w:val="Grid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8">
    <w:name w:val="Grid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9">
    <w:name w:val="Grid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0">
    <w:name w:val="Grid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List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List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5">
    <w:name w:val="List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6">
    <w:name w:val="List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7">
    <w:name w:val="List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8">
    <w:name w:val="List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9">
    <w:name w:val="List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0">
    <w:name w:val="List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1">
    <w:name w:val="List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4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4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4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5 Dark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7">
    <w:name w:val="List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8">
    <w:name w:val="List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9">
    <w:name w:val="List Table 5 Dark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3">
    <w:name w:val="List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4">
    <w:name w:val="List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5">
    <w:name w:val="List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6">
    <w:name w:val="List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7">
    <w:name w:val="List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8">
    <w:name w:val="List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9">
    <w:name w:val="List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0">
    <w:name w:val="List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31">
    <w:name w:val="List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32">
    <w:name w:val="List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33">
    <w:name w:val="List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34">
    <w:name w:val="List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35">
    <w:name w:val="List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36">
    <w:name w:val="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7">
    <w:name w:val="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8">
    <w:name w:val="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9">
    <w:name w:val="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0">
    <w:name w:val="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1">
    <w:name w:val="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2">
    <w:name w:val="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43">
    <w:name w:val="Bordered &amp; 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4">
    <w:name w:val="Bordered &amp; 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45">
    <w:name w:val="Bordered &amp; 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46">
    <w:name w:val="Bordered &amp; 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47">
    <w:name w:val="Bordered &amp; 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48">
    <w:name w:val="Bordered &amp; 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49">
    <w:name w:val="Bordered &amp; 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0">
    <w:name w:val="Bordered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1">
    <w:name w:val="Bordered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2">
    <w:name w:val="Bordered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3">
    <w:name w:val="Bordered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4">
    <w:name w:val="Bordered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5">
    <w:name w:val="Bordered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6">
    <w:name w:val="Bordered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7">
    <w:name w:val="footnote text"/>
    <w:basedOn w:val="874"/>
    <w:link w:val="858"/>
    <w:uiPriority w:val="99"/>
    <w:semiHidden/>
    <w:unhideWhenUsed/>
    <w:pPr>
      <w:spacing w:after="40" w:line="240" w:lineRule="auto"/>
    </w:pPr>
    <w:rPr>
      <w:sz w:val="18"/>
    </w:rPr>
  </w:style>
  <w:style w:type="character" w:styleId="858">
    <w:name w:val="Footnote Text Char"/>
    <w:link w:val="857"/>
    <w:uiPriority w:val="99"/>
    <w:rPr>
      <w:sz w:val="18"/>
    </w:rPr>
  </w:style>
  <w:style w:type="character" w:styleId="859">
    <w:name w:val="footnote reference"/>
    <w:basedOn w:val="875"/>
    <w:uiPriority w:val="99"/>
    <w:unhideWhenUsed/>
    <w:rPr>
      <w:vertAlign w:val="superscript"/>
    </w:rPr>
  </w:style>
  <w:style w:type="paragraph" w:styleId="860">
    <w:name w:val="endnote text"/>
    <w:basedOn w:val="874"/>
    <w:link w:val="861"/>
    <w:uiPriority w:val="99"/>
    <w:semiHidden/>
    <w:unhideWhenUsed/>
    <w:pPr>
      <w:spacing w:after="0" w:line="240" w:lineRule="auto"/>
    </w:pPr>
    <w:rPr>
      <w:sz w:val="20"/>
    </w:rPr>
  </w:style>
  <w:style w:type="character" w:styleId="861">
    <w:name w:val="Endnote Text Char"/>
    <w:link w:val="860"/>
    <w:uiPriority w:val="99"/>
    <w:rPr>
      <w:sz w:val="20"/>
    </w:rPr>
  </w:style>
  <w:style w:type="character" w:styleId="862">
    <w:name w:val="endnote reference"/>
    <w:basedOn w:val="875"/>
    <w:uiPriority w:val="99"/>
    <w:semiHidden/>
    <w:unhideWhenUsed/>
    <w:rPr>
      <w:vertAlign w:val="superscript"/>
    </w:rPr>
  </w:style>
  <w:style w:type="paragraph" w:styleId="863">
    <w:name w:val="toc 1"/>
    <w:basedOn w:val="874"/>
    <w:next w:val="874"/>
    <w:uiPriority w:val="39"/>
    <w:unhideWhenUsed/>
    <w:pPr>
      <w:ind w:left="0" w:right="0" w:firstLine="0"/>
      <w:spacing w:after="57"/>
    </w:pPr>
  </w:style>
  <w:style w:type="paragraph" w:styleId="864">
    <w:name w:val="toc 2"/>
    <w:basedOn w:val="874"/>
    <w:next w:val="874"/>
    <w:uiPriority w:val="39"/>
    <w:unhideWhenUsed/>
    <w:pPr>
      <w:ind w:left="283" w:right="0" w:firstLine="0"/>
      <w:spacing w:after="57"/>
    </w:pPr>
  </w:style>
  <w:style w:type="paragraph" w:styleId="865">
    <w:name w:val="toc 3"/>
    <w:basedOn w:val="874"/>
    <w:next w:val="874"/>
    <w:uiPriority w:val="39"/>
    <w:unhideWhenUsed/>
    <w:pPr>
      <w:ind w:left="567" w:right="0" w:firstLine="0"/>
      <w:spacing w:after="57"/>
    </w:pPr>
  </w:style>
  <w:style w:type="paragraph" w:styleId="866">
    <w:name w:val="toc 4"/>
    <w:basedOn w:val="874"/>
    <w:next w:val="874"/>
    <w:uiPriority w:val="39"/>
    <w:unhideWhenUsed/>
    <w:pPr>
      <w:ind w:left="850" w:right="0" w:firstLine="0"/>
      <w:spacing w:after="57"/>
    </w:pPr>
  </w:style>
  <w:style w:type="paragraph" w:styleId="867">
    <w:name w:val="toc 5"/>
    <w:basedOn w:val="874"/>
    <w:next w:val="874"/>
    <w:uiPriority w:val="39"/>
    <w:unhideWhenUsed/>
    <w:pPr>
      <w:ind w:left="1134" w:right="0" w:firstLine="0"/>
      <w:spacing w:after="57"/>
    </w:pPr>
  </w:style>
  <w:style w:type="paragraph" w:styleId="868">
    <w:name w:val="toc 6"/>
    <w:basedOn w:val="874"/>
    <w:next w:val="874"/>
    <w:uiPriority w:val="39"/>
    <w:unhideWhenUsed/>
    <w:pPr>
      <w:ind w:left="1417" w:right="0" w:firstLine="0"/>
      <w:spacing w:after="57"/>
    </w:pPr>
  </w:style>
  <w:style w:type="paragraph" w:styleId="869">
    <w:name w:val="toc 7"/>
    <w:basedOn w:val="874"/>
    <w:next w:val="874"/>
    <w:uiPriority w:val="39"/>
    <w:unhideWhenUsed/>
    <w:pPr>
      <w:ind w:left="1701" w:right="0" w:firstLine="0"/>
      <w:spacing w:after="57"/>
    </w:pPr>
  </w:style>
  <w:style w:type="paragraph" w:styleId="870">
    <w:name w:val="toc 8"/>
    <w:basedOn w:val="874"/>
    <w:next w:val="874"/>
    <w:uiPriority w:val="39"/>
    <w:unhideWhenUsed/>
    <w:pPr>
      <w:ind w:left="1984" w:right="0" w:firstLine="0"/>
      <w:spacing w:after="57"/>
    </w:pPr>
  </w:style>
  <w:style w:type="paragraph" w:styleId="871">
    <w:name w:val="toc 9"/>
    <w:basedOn w:val="874"/>
    <w:next w:val="874"/>
    <w:uiPriority w:val="39"/>
    <w:unhideWhenUsed/>
    <w:pPr>
      <w:ind w:left="2268" w:right="0" w:firstLine="0"/>
      <w:spacing w:after="57"/>
    </w:pPr>
  </w:style>
  <w:style w:type="paragraph" w:styleId="872">
    <w:name w:val="TOC Heading"/>
    <w:uiPriority w:val="39"/>
    <w:unhideWhenUsed/>
  </w:style>
  <w:style w:type="paragraph" w:styleId="873">
    <w:name w:val="table of figures"/>
    <w:basedOn w:val="874"/>
    <w:next w:val="874"/>
    <w:uiPriority w:val="99"/>
    <w:unhideWhenUsed/>
    <w:pPr>
      <w:spacing w:after="0" w:afterAutospacing="0"/>
    </w:pPr>
  </w:style>
  <w:style w:type="paragraph" w:styleId="874" w:default="1">
    <w:name w:val="Normal"/>
    <w:qFormat/>
  </w:style>
  <w:style w:type="character" w:styleId="875" w:default="1">
    <w:name w:val="Default Paragraph Font"/>
    <w:uiPriority w:val="1"/>
    <w:semiHidden/>
    <w:unhideWhenUsed/>
  </w:style>
  <w:style w:type="table" w:styleId="8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7" w:default="1">
    <w:name w:val="No List"/>
    <w:uiPriority w:val="99"/>
    <w:semiHidden/>
    <w:unhideWhenUsed/>
  </w:style>
  <w:style w:type="paragraph" w:styleId="878">
    <w:name w:val="Balloon Text"/>
    <w:basedOn w:val="874"/>
    <w:link w:val="87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79" w:customStyle="1">
    <w:name w:val="Текст выноски Знак"/>
    <w:basedOn w:val="875"/>
    <w:link w:val="878"/>
    <w:uiPriority w:val="99"/>
    <w:semiHidden/>
    <w:rPr>
      <w:rFonts w:ascii="Segoe UI" w:hAnsi="Segoe UI" w:cs="Segoe UI"/>
      <w:sz w:val="18"/>
      <w:szCs w:val="18"/>
    </w:rPr>
  </w:style>
  <w:style w:type="paragraph" w:styleId="880">
    <w:name w:val="List Paragraph"/>
    <w:basedOn w:val="874"/>
    <w:uiPriority w:val="34"/>
    <w:qFormat/>
    <w:pPr>
      <w:contextualSpacing/>
      <w:ind w:left="720"/>
    </w:pPr>
  </w:style>
  <w:style w:type="table" w:styleId="881">
    <w:name w:val="Table Grid"/>
    <w:basedOn w:val="87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82">
    <w:name w:val="Normal (Web)"/>
    <w:basedOn w:val="874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83">
    <w:name w:val="Hyperlink"/>
    <w:basedOn w:val="875"/>
    <w:uiPriority w:val="99"/>
    <w:unhideWhenUsed/>
    <w:rPr>
      <w:color w:val="0563c1" w:themeColor="hyperlink"/>
      <w:u w:val="single"/>
    </w:rPr>
  </w:style>
  <w:style w:type="paragraph" w:styleId="884">
    <w:name w:val="Header"/>
    <w:basedOn w:val="874"/>
    <w:link w:val="88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5" w:customStyle="1">
    <w:name w:val="Верхний колонтитул Знак"/>
    <w:basedOn w:val="875"/>
    <w:link w:val="884"/>
    <w:uiPriority w:val="99"/>
  </w:style>
  <w:style w:type="paragraph" w:styleId="886">
    <w:name w:val="Footer"/>
    <w:basedOn w:val="874"/>
    <w:link w:val="88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87" w:customStyle="1">
    <w:name w:val="Нижний колонтитул Знак"/>
    <w:basedOn w:val="875"/>
    <w:link w:val="886"/>
    <w:uiPriority w:val="99"/>
  </w:style>
  <w:style w:type="table" w:styleId="888" w:customStyle="1">
    <w:name w:val="Сетка таблицы1"/>
    <w:uiPriority w:val="59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hyperlink" Target="https://forms.yandex.ru/u/6982e51f6d2d73f404c942b6" TargetMode="External"/><Relationship Id="rId13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AB05-5D2D-4C0D-8B7E-C4F7A632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ГКУ НСО "УКСиС"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Юлия Игоревна</dc:creator>
  <cp:keywords/>
  <dc:description/>
  <cp:lastModifiedBy>bolshakova_na@NSO.LOC</cp:lastModifiedBy>
  <cp:revision>23</cp:revision>
  <dcterms:created xsi:type="dcterms:W3CDTF">2019-04-08T03:11:00Z</dcterms:created>
  <dcterms:modified xsi:type="dcterms:W3CDTF">2026-02-04T06:44:08Z</dcterms:modified>
</cp:coreProperties>
</file>