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emf" ContentType="image/x-emf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rPr>
          <w:rFonts w:ascii="Times New Roman" w:hAnsi="Times New Roman" w:eastAsia="Times New Roman" w:cs="Times New Roman"/>
          <w:b/>
          <w:sz w:val="32"/>
          <w:szCs w:val="32"/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68440" cy="9197340"/>
                <wp:effectExtent l="0" t="0" r="3810" b="3810"/>
                <wp:docPr id="1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6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6568440" cy="91973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517.20pt;height:724.20pt;mso-wrap-distance-left:0.00pt;mso-wrap-distance-top:0.00pt;mso-wrap-distance-right:0.00pt;mso-wrap-distance-bottom:0.00pt;" stroked="false">
                <v:path textboxrect="0,0,0,0"/>
                <v:imagedata r:id="rId6" o:title="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68440" cy="9197340"/>
                <wp:effectExtent l="0" t="0" r="3810" b="3810"/>
                <wp:docPr id="2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7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6568440" cy="91973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517.20pt;height:724.20pt;mso-wrap-distance-left:0.00pt;mso-wrap-distance-top:0.00pt;mso-wrap-distance-right:0.00pt;mso-wrap-distance-bottom:0.00pt;" stroked="false">
                <v:path textboxrect="0,0,0,0"/>
                <v:imagedata r:id="rId7" o:title="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68440" cy="9182100"/>
                <wp:effectExtent l="0" t="0" r="3810" b="0"/>
                <wp:docPr id="3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8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6568440" cy="91821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517.20pt;height:723.00pt;mso-wrap-distance-left:0.00pt;mso-wrap-distance-top:0.00pt;mso-wrap-distance-right:0.00pt;mso-wrap-distance-bottom:0.00pt;" stroked="false">
                <v:path textboxrect="0,0,0,0"/>
                <v:imagedata r:id="rId8" o:title="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68440" cy="9197340"/>
                <wp:effectExtent l="0" t="0" r="3810" b="3810"/>
                <wp:docPr id="4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9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6568440" cy="91973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517.20pt;height:724.20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70345" cy="9183241"/>
                <wp:effectExtent l="0" t="0" r="1905" b="0"/>
                <wp:docPr id="5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10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6570345" cy="91832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517.35pt;height:723.09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70345" cy="9194128"/>
                <wp:effectExtent l="0" t="0" r="1905" b="7620"/>
                <wp:docPr id="6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11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6570345" cy="91941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517.35pt;height:723.95pt;mso-wrap-distance-left:0.00pt;mso-wrap-distance-top:0.00pt;mso-wrap-distance-right:0.00pt;mso-wrap-distance-bottom:0.00pt;" stroked="f">
                <v:path textboxrect="0,0,0,0"/>
                <v:imagedata r:id="rId11" o:title=""/>
              </v:shape>
            </w:pict>
          </mc:Fallback>
        </mc:AlternateContent>
      </w:r>
    </w:p>
    <w:p>
      <w:pPr>
        <w:jc w:val="center"/>
        <w:rPr>
          <w:rFonts w:ascii="Times New Roman" w:hAnsi="Times New Roman" w:eastAsia="Times New Roman" w:cs="Times New Roman"/>
          <w:b/>
          <w:sz w:val="32"/>
          <w:szCs w:val="32"/>
          <w:lang w:eastAsia="ru-RU"/>
        </w:rPr>
      </w:pPr>
    </w:p>
    <w:p>
      <w:pPr>
        <w:jc w:val="center"/>
        <w:rPr>
          <w:rFonts w:ascii="Times New Roman" w:hAnsi="Times New Roman" w:eastAsia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eastAsia="Times New Roman" w:cs="Times New Roman"/>
          <w:b/>
          <w:sz w:val="32"/>
          <w:szCs w:val="32"/>
          <w:lang w:eastAsia="ru-RU"/>
        </w:rPr>
        <w:t xml:space="preserve"> Описание объекта закупки</w:t>
      </w:r>
    </w:p>
    <w:p>
      <w:pPr>
        <w:spacing w:after="0" w:line="240" w:lineRule="auto"/>
        <w:ind w:firstLine="709"/>
        <w:jc w:val="center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на выполнение</w:t>
      </w:r>
      <w:r>
        <w:rPr>
          <w:rFonts w:ascii="Times New Roman" w:hAnsi="Times New Roman" w:eastAsia="Times New Roman" w:cs="Times New Roman"/>
          <w:b/>
          <w:sz w:val="24"/>
          <w:szCs w:val="24"/>
          <w:lang w:eastAsia="ru-RU"/>
        </w:rPr>
        <w:t xml:space="preserve"> </w:t>
      </w:r>
      <w:r>
        <w:rPr>
          <w:rFonts w:ascii="Times New Roman CYR" w:hAnsi="Times New Roman CYR" w:eastAsia="Times New Roman" w:cs="Times New Roman CYR"/>
          <w:sz w:val="24"/>
          <w:szCs w:val="24"/>
          <w:lang w:eastAsia="ru-RU"/>
        </w:rPr>
        <w:t xml:space="preserve">работ по </w:t>
      </w:r>
      <w:r>
        <w:rPr>
          <w:rFonts w:ascii="Times New Roman CYR" w:hAnsi="Times New Roman CYR" w:eastAsia="Times New Roman" w:cs="Times New Roman CYR"/>
          <w:sz w:val="24"/>
          <w:szCs w:val="24"/>
          <w:lang w:eastAsia="ru-RU"/>
        </w:rPr>
        <w:t xml:space="preserve">ремонту</w:t>
      </w:r>
      <w:r>
        <w:rPr>
          <w:rFonts w:ascii="Times New Roman CYR" w:hAnsi="Times New Roman CYR" w:eastAsia="Times New Roman" w:cs="Times New Roman CYR"/>
          <w:sz w:val="24"/>
          <w:szCs w:val="24"/>
          <w:lang w:eastAsia="ru-RU"/>
        </w:rPr>
        <w:t xml:space="preserve"> а/д «Новосибирск – Кочки – Павлодар (в пред. </w:t>
      </w:r>
      <w:r>
        <w:rPr>
          <w:rFonts w:ascii="Times New Roman CYR" w:hAnsi="Times New Roman CYR" w:eastAsia="Times New Roman" w:cs="Times New Roman CYR"/>
          <w:sz w:val="24"/>
          <w:szCs w:val="24"/>
          <w:lang w:eastAsia="ru-RU"/>
        </w:rPr>
        <w:t xml:space="preserve">РФ)» в Ордынском районе Новосибирской области.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 </w:t>
      </w:r>
    </w:p>
    <w:p>
      <w:pPr>
        <w:spacing w:after="0" w:line="240" w:lineRule="auto"/>
        <w:jc w:val="both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</w:p>
    <w:p>
      <w:pPr>
        <w:spacing w:after="0" w:line="240" w:lineRule="auto"/>
        <w:ind w:firstLine="720"/>
        <w:jc w:val="both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Проектная и рабочая документация Шифр 6016-23-4-АД, (далее – Документация) на ремонт </w:t>
      </w:r>
      <w:r>
        <w:rPr>
          <w:rFonts w:ascii="Times New Roman" w:hAnsi="Times New Roman" w:eastAsia="Times New Roman" w:cs="Times New Roman"/>
          <w:sz w:val="24"/>
          <w:szCs w:val="24"/>
        </w:rPr>
        <w:t xml:space="preserve">а/д «Новосибирск – Кочки – Павлодар (в пред. РФ)» в Ордынском районе Новосибирской области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, в соответствии с постановлением Правительства РФ от 16.02.2008 N 87 «О составе разделов проектной документации и требованиях к их содержанию», прилагается в составе Описания объекта закупки. </w:t>
      </w:r>
    </w:p>
    <w:p>
      <w:pPr>
        <w:widowControl w:val="off"/>
        <w:spacing w:after="0" w:line="240" w:lineRule="auto"/>
        <w:ind w:firstLine="720"/>
        <w:jc w:val="both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Работы выполняются в объеме и в соответствии с функционально-технологическими, конструктивными и инженерно-техническими решениями, изложенными в прилагаемой Документации. </w:t>
      </w:r>
    </w:p>
    <w:p>
      <w:pPr>
        <w:spacing w:after="160" w:line="256" w:lineRule="auto"/>
        <w:ind w:right="133" w:firstLine="709"/>
        <w:contextualSpacing/>
        <w:jc w:val="both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«Все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 согласно п. 13, 14 Приказа Минстроя России от 04.08.2020 N 421/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пр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 "Об утверждении Методики определения сметной стоимости строительства, реконструкции, капитального ремонта, сноса объектов капитального строительства, работ по сохранению объектов культурного наследия (памятников истории и культуры) народов Российской Федерации на территории Российской Федерации"».</w:t>
      </w:r>
    </w:p>
    <w:p>
      <w:pPr>
        <w:spacing w:after="160" w:line="256" w:lineRule="auto"/>
        <w:ind w:right="133" w:firstLine="709"/>
        <w:contextualSpacing/>
        <w:jc w:val="both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</w:p>
    <w:p>
      <w:pPr>
        <w:spacing w:before="120" w:after="120" w:line="240" w:lineRule="auto"/>
        <w:ind w:firstLine="709"/>
        <w:jc w:val="center"/>
        <w:rPr>
          <w:rFonts w:ascii="Times New Roman" w:hAnsi="Times New Roman" w:eastAsia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sz w:val="24"/>
          <w:szCs w:val="24"/>
          <w:lang w:eastAsia="ru-RU"/>
        </w:rPr>
        <w:t xml:space="preserve">1. Место выполнения Работ (по месту нахождения Объекта):</w:t>
      </w:r>
    </w:p>
    <w:p>
      <w:pPr>
        <w:tabs>
          <w:tab w:val="left" w:pos="993"/>
        </w:tabs>
        <w:spacing w:after="0" w:line="240" w:lineRule="auto"/>
        <w:ind w:firstLine="720"/>
        <w:jc w:val="both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а/д «Новосибирск – Кочки – Павлодар (в пред. РФ)» в Ордынском районе Новосибирской области, участок работ  км 103+000 – км 106+388, протяженностью 3,388 км.</w:t>
      </w:r>
    </w:p>
    <w:p>
      <w:pPr>
        <w:tabs>
          <w:tab w:val="left" w:pos="993"/>
        </w:tabs>
        <w:spacing w:after="0" w:line="240" w:lineRule="auto"/>
        <w:ind w:firstLine="720"/>
        <w:jc w:val="both"/>
        <w:rPr>
          <w:rFonts w:ascii="Times New Roman" w:hAnsi="Times New Roman" w:eastAsia="Times New Roman" w:cs="Times New Roman"/>
          <w:b/>
          <w:sz w:val="24"/>
          <w:szCs w:val="24"/>
          <w:lang w:eastAsia="ru-RU"/>
        </w:rPr>
      </w:pPr>
    </w:p>
    <w:p>
      <w:pPr>
        <w:tabs>
          <w:tab w:val="left" w:pos="993"/>
        </w:tabs>
        <w:spacing w:after="0" w:line="240" w:lineRule="auto"/>
        <w:ind w:firstLine="720"/>
        <w:jc w:val="center"/>
        <w:rPr>
          <w:rFonts w:ascii="Times New Roman" w:hAnsi="Times New Roman" w:eastAsia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sz w:val="24"/>
          <w:szCs w:val="24"/>
          <w:lang w:eastAsia="ru-RU"/>
        </w:rPr>
        <w:t xml:space="preserve">2. Условия выполнения Работ.</w:t>
      </w:r>
    </w:p>
    <w:p>
      <w:pPr>
        <w:spacing w:after="0" w:line="240" w:lineRule="auto"/>
        <w:ind w:firstLine="720"/>
        <w:jc w:val="both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Выполнить все Работы в объеме и сроки, предусмотренные Контрактом и приложениями к нему, и сдать Объект Заказчику с качеством, соответствующим условиям Контракта и приложений к нему. Обеспечить качество выполнения всех Работ в соответствии с требованиями Документации, организационно-технологической документации, нормативно-технической документации, обязательной при выполнении дорожных работ ГОСТ 25607-2009, ГОСТ 8267-93, ГОСТ Р 52290-2004, ГОСТ 26633-2015, ГОСТ Р 58861-2020, ГОСТ Р 59178-2021, ГОСТ Р 59200-2021, ГОСТ Р 50597-2017, ГОСТ Р 59120-2021, ГОСТ Р 59201-2021, ГОСТ Р 58406.1-2020 - ГОСТ Р 584406.3-2020, ГОСТ 32952-2014, ГОСТ Р 51256-2018, СП 78.13330.2012, Постановления Правительства РФ от 31.12.2009г. № 1221 «Об утверждении Правил установления требований энергетической эффективности товаров, работ, услуг при осуществлении закупок для обеспечения государственных и муниципальных нужд», ТР ТС 014/2011, СТП ТУАД (размещен на 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www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.</w:t>
      </w:r>
      <w:r>
        <w:rPr>
          <w:rFonts w:ascii="Times New Roman" w:hAnsi="Times New Roman" w:eastAsia="Times New Roman" w:cs="Times New Roman"/>
          <w:sz w:val="24"/>
          <w:szCs w:val="24"/>
          <w:lang w:val="en-US" w:eastAsia="ru-RU"/>
        </w:rPr>
        <w:t xml:space="preserve">tuad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.</w:t>
      </w:r>
      <w:r>
        <w:rPr>
          <w:rFonts w:ascii="Times New Roman" w:hAnsi="Times New Roman" w:eastAsia="Times New Roman" w:cs="Times New Roman"/>
          <w:sz w:val="24"/>
          <w:szCs w:val="24"/>
          <w:lang w:val="en-US" w:eastAsia="ru-RU"/>
        </w:rPr>
        <w:t xml:space="preserve">nsk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.</w:t>
      </w:r>
      <w:r>
        <w:rPr>
          <w:rFonts w:ascii="Times New Roman" w:hAnsi="Times New Roman" w:eastAsia="Times New Roman" w:cs="Times New Roman"/>
          <w:sz w:val="24"/>
          <w:szCs w:val="24"/>
          <w:lang w:val="en-US" w:eastAsia="ru-RU"/>
        </w:rPr>
        <w:t xml:space="preserve">ru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), СТО ТУАД (размещен на </w:t>
      </w:r>
      <w:hyperlink r:id="rId12" w:tooltip="http://www.tuad.nsk.ru" w:history="1">
        <w:r>
          <w:rPr>
            <w:rFonts w:ascii="Times New Roman" w:hAnsi="Times New Roman" w:eastAsia="Arial" w:cs="Times New Roman"/>
            <w:color w:val="0000ff"/>
            <w:sz w:val="24"/>
            <w:szCs w:val="24"/>
            <w:u w:val="single"/>
            <w:lang w:eastAsia="ru-RU"/>
          </w:rPr>
          <w:t xml:space="preserve">www.</w:t>
        </w:r>
        <w:r>
          <w:rPr>
            <w:rFonts w:ascii="Times New Roman" w:hAnsi="Times New Roman" w:eastAsia="Arial" w:cs="Times New Roman"/>
            <w:color w:val="0000ff"/>
            <w:sz w:val="24"/>
            <w:szCs w:val="24"/>
            <w:u w:val="single"/>
            <w:lang w:val="en-US" w:eastAsia="ru-RU"/>
          </w:rPr>
          <w:t xml:space="preserve">tuad</w:t>
        </w:r>
        <w:r>
          <w:rPr>
            <w:rFonts w:ascii="Times New Roman" w:hAnsi="Times New Roman" w:eastAsia="Arial" w:cs="Times New Roman"/>
            <w:color w:val="0000ff"/>
            <w:sz w:val="24"/>
            <w:szCs w:val="24"/>
            <w:u w:val="single"/>
            <w:lang w:eastAsia="ru-RU"/>
          </w:rPr>
          <w:t xml:space="preserve">.</w:t>
        </w:r>
        <w:r>
          <w:rPr>
            <w:rFonts w:ascii="Times New Roman" w:hAnsi="Times New Roman" w:eastAsia="Arial" w:cs="Times New Roman"/>
            <w:color w:val="0000ff"/>
            <w:sz w:val="24"/>
            <w:szCs w:val="24"/>
            <w:u w:val="single"/>
            <w:lang w:val="en-US" w:eastAsia="ru-RU"/>
          </w:rPr>
          <w:t xml:space="preserve">nsk</w:t>
        </w:r>
        <w:r>
          <w:rPr>
            <w:rFonts w:ascii="Times New Roman" w:hAnsi="Times New Roman" w:eastAsia="Arial" w:cs="Times New Roman"/>
            <w:color w:val="0000ff"/>
            <w:sz w:val="24"/>
            <w:szCs w:val="24"/>
            <w:u w:val="single"/>
            <w:lang w:eastAsia="ru-RU"/>
          </w:rPr>
          <w:t xml:space="preserve">.</w:t>
        </w:r>
        <w:r>
          <w:rPr>
            <w:rFonts w:ascii="Times New Roman" w:hAnsi="Times New Roman" w:eastAsia="Arial" w:cs="Times New Roman"/>
            <w:color w:val="0000ff"/>
            <w:sz w:val="24"/>
            <w:szCs w:val="24"/>
            <w:u w:val="single"/>
            <w:lang w:val="en-US" w:eastAsia="ru-RU"/>
          </w:rPr>
          <w:t xml:space="preserve">ru</w:t>
        </w:r>
      </w:hyperlink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), принятых в установленном порядке, другой нормативной документации.</w:t>
      </w:r>
    </w:p>
    <w:p>
      <w:pPr>
        <w:spacing w:after="0" w:line="240" w:lineRule="auto"/>
        <w:ind w:firstLine="720"/>
        <w:jc w:val="both"/>
        <w:rPr>
          <w:rFonts w:ascii="Times New Roman" w:hAnsi="Times New Roman" w:eastAsia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sz w:val="24"/>
          <w:szCs w:val="24"/>
          <w:lang w:eastAsia="ru-RU"/>
        </w:rPr>
        <w:t xml:space="preserve">       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sz w:val="24"/>
          <w:szCs w:val="24"/>
          <w:lang w:eastAsia="ru-RU"/>
        </w:rPr>
        <w:t xml:space="preserve">3. </w:t>
      </w:r>
      <w:r>
        <w:rPr>
          <w:rFonts w:ascii="Times New Roman" w:hAnsi="Times New Roman" w:eastAsia="Times New Roman" w:cs="Times New Roman"/>
          <w:b/>
          <w:sz w:val="24"/>
          <w:szCs w:val="24"/>
        </w:rPr>
        <w:t xml:space="preserve">Сроки выполнения, приемки Работ и исполнения отдельных этапов Контракта.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Сроки выполнения работ по Контракту: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Дата начала выполнения работ по I этапу – с даты заключения Контракта.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Дата окончания выполнения работ по I этапу – 11.06.2025 г.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Дата начала выполнения работ по II этапу – 12.06.2025 г.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Дата окончания выполнения работ по II этапу – 15.07.2025 г.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Дата начала выполнения работ по III этапу – 16.07.2025 г.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Дата окончания выполнения работ по III этапу на Объекте – 15.09.2025 г. (до данной даты результат Работ должен быть сдан Заказчику).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Сроки выполнения Работ по этапам устанавливаются «Графиком выполнения работ» (Приложение № 2).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Сроки приемки Работ по этапам: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по I этапу – 19.06.2025 г.,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по II этапу – 22.07.2025 г.,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по III этапу – 22.09.2025 г.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Сроки исполнения отдельных этапов Контракта: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Дата начала исполнения  I этапа  – с даты заключения Контракта.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Дата окончания исполнения I этапа  – 30.06.2025 г.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Дата начала выполнения работ по II этапу – 12.06.2025 г.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Дата окончания выполнения работ по II этапу – 31.07.2025 г.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Дата начала исполнения  III этапа – 16.07.2025 г. 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  <w:lang w:eastAsia="ru-RU"/>
        </w:rPr>
        <w:t xml:space="preserve">Дата окончания исполнения III этапа – 01.10.2025 г.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 xml:space="preserve">3.3.1. За 20 рабочих дней до даты окончания выполнения Работ, указанной в «Графике выполнения работ» (Приложение № 2), Подрядчик должен выполнить обязательства, предусмотренные «Графиком выполнения работ» (Приложение № 2), направить Заказчику извещение о завершении Работ и документы, предусмотренные п. 4.6. Контракта. Документ о приемке формируется в ЕИС в соответствии с п. 4.14 контракта.  </w:t>
      </w:r>
    </w:p>
    <w:p>
      <w:pPr>
        <w:spacing w:after="0" w:line="240" w:lineRule="auto"/>
        <w:ind w:left="720" w:firstLine="709"/>
        <w:jc w:val="both"/>
        <w:rPr>
          <w:rFonts w:ascii="Times New Roman" w:hAnsi="Times New Roman" w:eastAsia="Times New Roman" w:cs="Times New Roman"/>
          <w:b/>
          <w:sz w:val="24"/>
          <w:szCs w:val="24"/>
          <w:lang w:eastAsia="ru-RU"/>
        </w:rPr>
      </w:pPr>
    </w:p>
    <w:p>
      <w:pPr>
        <w:spacing w:after="0" w:line="240" w:lineRule="auto"/>
        <w:ind w:left="720" w:firstLine="709"/>
        <w:jc w:val="both"/>
        <w:rPr>
          <w:rFonts w:ascii="Times New Roman" w:hAnsi="Times New Roman" w:eastAsia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b/>
          <w:sz w:val="24"/>
          <w:szCs w:val="24"/>
          <w:lang w:eastAsia="ru-RU"/>
        </w:rPr>
        <w:t xml:space="preserve">4. Требования по сроку гарантий качества на результаты Работ.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Гарантийные сроки на результат выполненных работ установлены в соответствии с требованиями Постановления Правительства РФ от 8 апреля 2023 г. № 572 «Об утверждении типовых условий контрактов на выполнение работ по ремонту автомобильных дорог, искусственных дорожных сооружений». Течение гарантийных сроков начинается с даты окончания выполнения Работ на Объекте за последний </w:t>
      </w:r>
      <w:r>
        <w:rPr>
          <w:rFonts w:ascii="Times New Roman" w:hAnsi="Times New Roman" w:eastAsia="Times New Roman" w:cs="Times New Roman"/>
          <w:sz w:val="24"/>
          <w:szCs w:val="24"/>
          <w:lang w:val="en-US" w:eastAsia="ru-RU"/>
        </w:rPr>
        <w:t xml:space="preserve">I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I</w:t>
      </w:r>
      <w:r>
        <w:rPr>
          <w:rFonts w:ascii="Times New Roman" w:hAnsi="Times New Roman" w:eastAsia="Times New Roman" w:cs="Times New Roman"/>
          <w:sz w:val="24"/>
          <w:szCs w:val="24"/>
          <w:lang w:val="en-US" w:eastAsia="ru-RU"/>
        </w:rPr>
        <w:t xml:space="preserve">I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 этап (дата подписания документа о приемке Заказчиком, сформированного с использованием ЕИС). С этой даты начинается гарантийный срок на:</w:t>
      </w:r>
    </w:p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7373"/>
        <w:gridCol w:w="3190"/>
      </w:tblGrid>
      <w:tr>
        <w:tc>
          <w:tcPr>
            <w:tcW w:w="3490" w:type="pct"/>
            <w:shd w:val="clear" w:color="auto" w:fill="auto"/>
            <w:vAlign w:val="center"/>
          </w:tcPr>
          <w:p>
            <w:pPr>
              <w:spacing w:after="0" w:line="240" w:lineRule="auto"/>
              <w:ind w:firstLine="709"/>
              <w:rPr>
                <w:rFonts w:ascii="Times New Roman" w:hAnsi="Times New Roman" w:eastAsia="Times New Roman" w:cs="Times New Roman"/>
                <w:sz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lang w:eastAsia="ru-RU"/>
              </w:rPr>
              <w:t xml:space="preserve">Наименование вида работ</w:t>
            </w:r>
          </w:p>
        </w:tc>
        <w:tc>
          <w:tcPr>
            <w:tcW w:w="1510" w:type="pct"/>
            <w:shd w:val="clear" w:color="auto" w:fill="auto"/>
            <w:vAlign w:val="center"/>
          </w:tcPr>
          <w:p>
            <w:pPr>
              <w:spacing w:after="0" w:line="240" w:lineRule="auto"/>
              <w:ind w:firstLine="709"/>
              <w:rPr>
                <w:rFonts w:ascii="Times New Roman" w:hAnsi="Times New Roman" w:eastAsia="Times New Roman" w:cs="Times New Roman"/>
                <w:sz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lang w:eastAsia="ru-RU"/>
              </w:rPr>
              <w:t xml:space="preserve">Гарантийный срок</w:t>
            </w:r>
          </w:p>
        </w:tc>
      </w:tr>
      <w:tr>
        <w:trPr>
          <w:trHeight w:val="120"/>
        </w:trPr>
        <w:tc>
          <w:tcPr>
            <w:tcW w:w="3490" w:type="pct"/>
            <w:shd w:val="clear" w:color="auto" w:fill="auto"/>
            <w:vAlign w:val="center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Дорожные знаки с применением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световозвращающего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 материала I класса</w:t>
            </w:r>
          </w:p>
        </w:tc>
        <w:tc>
          <w:tcPr>
            <w:tcW w:w="1510" w:type="pct"/>
            <w:shd w:val="clear" w:color="auto" w:fill="auto"/>
            <w:vAlign w:val="center"/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5 лет</w:t>
            </w:r>
          </w:p>
        </w:tc>
      </w:tr>
      <w:tr>
        <w:trPr>
          <w:trHeight w:val="120"/>
        </w:trPr>
        <w:tc>
          <w:tcPr>
            <w:tcW w:w="3490" w:type="pct"/>
            <w:shd w:val="clear" w:color="auto" w:fill="auto"/>
            <w:vAlign w:val="center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Сигнальные столбики</w:t>
            </w:r>
          </w:p>
        </w:tc>
        <w:tc>
          <w:tcPr>
            <w:tcW w:w="1510" w:type="pct"/>
            <w:shd w:val="clear" w:color="auto" w:fill="auto"/>
            <w:vAlign w:val="center"/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val="en-US" w:eastAsia="ru-RU"/>
              </w:rPr>
              <w:t xml:space="preserve"> 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2 года </w:t>
            </w:r>
          </w:p>
        </w:tc>
      </w:tr>
      <w:tr>
        <w:trPr>
          <w:trHeight w:val="120"/>
        </w:trPr>
        <w:tc>
          <w:tcPr>
            <w:tcW w:w="3490" w:type="pct"/>
            <w:shd w:val="clear" w:color="auto" w:fill="auto"/>
            <w:vAlign w:val="center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Верхний слой покрытия из асфальтобетона </w:t>
            </w:r>
          </w:p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(при интенсивности движения транспортного потока по полосе движения, 10 000 – 20 000 авт./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сут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)</w:t>
            </w:r>
          </w:p>
        </w:tc>
        <w:tc>
          <w:tcPr>
            <w:tcW w:w="1510" w:type="pct"/>
            <w:shd w:val="clear" w:color="auto" w:fill="auto"/>
            <w:vAlign w:val="center"/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  4 года</w:t>
            </w:r>
          </w:p>
        </w:tc>
      </w:tr>
      <w:tr>
        <w:trPr>
          <w:trHeight w:val="120"/>
        </w:trPr>
        <w:tc>
          <w:tcPr>
            <w:tcW w:w="3490" w:type="pct"/>
            <w:shd w:val="clear" w:color="auto" w:fill="auto"/>
          </w:tcPr>
          <w:p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Искусственные сооружения (водопропускные трубы)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ab/>
            </w:r>
          </w:p>
        </w:tc>
        <w:tc>
          <w:tcPr>
            <w:tcW w:w="1510" w:type="pct"/>
            <w:shd w:val="clear" w:color="auto" w:fill="auto"/>
            <w:vAlign w:val="center"/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6 лет</w:t>
            </w:r>
          </w:p>
        </w:tc>
      </w:tr>
      <w:tr>
        <w:trPr>
          <w:trHeight w:val="120"/>
        </w:trPr>
        <w:tc>
          <w:tcPr>
            <w:tcW w:w="3490" w:type="pct"/>
            <w:shd w:val="clear" w:color="auto" w:fill="auto"/>
          </w:tcPr>
          <w:p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Тротуары </w:t>
            </w:r>
          </w:p>
        </w:tc>
        <w:tc>
          <w:tcPr>
            <w:tcW w:w="1510" w:type="pct"/>
            <w:shd w:val="clear" w:color="auto" w:fill="auto"/>
            <w:vAlign w:val="center"/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4 года</w:t>
            </w:r>
          </w:p>
        </w:tc>
      </w:tr>
      <w:tr>
        <w:trPr>
          <w:trHeight w:val="120"/>
        </w:trPr>
        <w:tc>
          <w:tcPr>
            <w:tcW w:w="3490" w:type="pct"/>
            <w:shd w:val="clear" w:color="auto" w:fill="auto"/>
          </w:tcPr>
          <w:p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Металлическое пешеходное ограждение </w:t>
            </w:r>
          </w:p>
        </w:tc>
        <w:tc>
          <w:tcPr>
            <w:tcW w:w="1510" w:type="pct"/>
            <w:shd w:val="clear" w:color="auto" w:fill="auto"/>
            <w:vAlign w:val="center"/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5 лет</w:t>
            </w:r>
          </w:p>
        </w:tc>
      </w:tr>
      <w:tr>
        <w:trPr>
          <w:trHeight w:val="120"/>
        </w:trPr>
        <w:tc>
          <w:tcPr>
            <w:tcW w:w="3490" w:type="pct"/>
            <w:shd w:val="clear" w:color="auto" w:fill="auto"/>
          </w:tcPr>
          <w:p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Дорожная разметка (термопластик)</w:t>
            </w:r>
          </w:p>
        </w:tc>
        <w:tc>
          <w:tcPr>
            <w:tcW w:w="1510" w:type="pct"/>
            <w:shd w:val="clear" w:color="auto" w:fill="auto"/>
            <w:vAlign w:val="center"/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1 год</w:t>
            </w:r>
          </w:p>
        </w:tc>
      </w:tr>
      <w:tr>
        <w:trPr>
          <w:trHeight w:val="120"/>
        </w:trPr>
        <w:tc>
          <w:tcPr>
            <w:tcW w:w="3490" w:type="pct"/>
            <w:shd w:val="clear" w:color="auto" w:fill="auto"/>
          </w:tcPr>
          <w:p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Барьерное ограждение</w:t>
            </w:r>
          </w:p>
        </w:tc>
        <w:tc>
          <w:tcPr>
            <w:tcW w:w="1510" w:type="pct"/>
            <w:shd w:val="clear" w:color="auto" w:fill="auto"/>
            <w:vAlign w:val="center"/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5 лет</w:t>
            </w:r>
          </w:p>
        </w:tc>
      </w:tr>
      <w:tr>
        <w:trPr>
          <w:trHeight w:val="120"/>
        </w:trPr>
        <w:tc>
          <w:tcPr>
            <w:tcW w:w="3490" w:type="pct"/>
            <w:shd w:val="clear" w:color="auto" w:fill="auto"/>
          </w:tcPr>
          <w:p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Здания и сооружения эксплуатационной и автотранспортной служб(автопавильон)</w:t>
            </w:r>
          </w:p>
        </w:tc>
        <w:tc>
          <w:tcPr>
            <w:tcW w:w="1510" w:type="pct"/>
            <w:shd w:val="clear" w:color="auto" w:fill="auto"/>
            <w:vAlign w:val="center"/>
          </w:tcPr>
          <w:p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  <w:t xml:space="preserve">8 лет</w:t>
            </w:r>
          </w:p>
        </w:tc>
      </w:tr>
    </w:tbl>
    <w:p>
      <w:pPr>
        <w:spacing w:after="0" w:line="240" w:lineRule="auto"/>
        <w:ind w:firstLine="709"/>
        <w:jc w:val="both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70345" cy="9226789"/>
                <wp:effectExtent l="0" t="0" r="1905" b="0"/>
                <wp:docPr id="7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13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6570345" cy="92267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517.35pt;height:726.52pt;mso-wrap-distance-left:0.00pt;mso-wrap-distance-top:0.00pt;mso-wrap-distance-right:0.00pt;mso-wrap-distance-bottom:0.00pt;" stroked="f">
                <v:path textboxrect="0,0,0,0"/>
                <v:imagedata r:id="rId13" o:title="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70345" cy="9237676"/>
                <wp:effectExtent l="0" t="0" r="1905" b="1905"/>
                <wp:docPr id="8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14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6570345" cy="92376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517.35pt;height:727.38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70345" cy="9300671"/>
                <wp:effectExtent l="0" t="0" r="1905" b="0"/>
                <wp:docPr id="9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  <pic:nvPr/>
                      </pic:nvPicPr>
                      <pic:blipFill>
                        <a:blip r:embed="rId15"/>
                        <a:srcRect/>
                        <a:stretch/>
                      </pic:blipFill>
                      <pic:spPr bwMode="auto">
                        <a:xfrm>
                          <a:off x="0" y="0"/>
                          <a:ext cx="6570345" cy="93006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517.35pt;height:732.34pt;mso-wrap-distance-left:0.00pt;mso-wrap-distance-top:0.00pt;mso-wrap-distance-right:0.00pt;mso-wrap-distance-bottom:0.00pt;" stroked="f">
                <v:path textboxrect="0,0,0,0"/>
                <v:imagedata r:id="rId15" o:title=""/>
              </v:shape>
            </w:pict>
          </mc:Fallback>
        </mc:AlternateContent>
      </w:r>
      <w:bookmarkStart w:id="0" w:name="_GoBack"/>
      <w:bookmarkEnd w:id="0"/>
    </w:p>
    <w:sectPr>
      <w:pgSz w:w="11906" w:h="16838"/>
      <w:pgMar w:top="567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</w:font>
  <w:font w:name="Times New Roman CYR">
    <w:panose1 w:val="02020603050405020304"/>
  </w:font>
  <w:font w:name="Times New Roman">
    <w:panose1 w:val="02020603050405020304"/>
  </w:font>
  <w:font w:name="Tahoma">
    <w:panose1 w:val="020B0604030504040204"/>
  </w:font>
  <w:font w:name="Calibri">
    <w:panose1 w:val="020F0502020204030204"/>
  </w:font>
  <w:font w:name="Cambria">
    <w:panose1 w:val="02040503050406030204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a" w:default="1">
    <w:name w:val="Normal"/>
    <w:qFormat/>
  </w:style>
  <w:style w:type="character" w:styleId="a0" w:default="1">
    <w:name w:val="Default Paragraph Font"/>
    <w:uiPriority w:val="1"/>
    <w:semiHidden/>
    <w:unhideWhenUsed/>
  </w:style>
  <w:style w:type="table" w:styleId="a1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a2" w:default="1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a4" w:customStyle="1">
    <w:name w:val="Текст выноски Знак"/>
    <w:basedOn w:val="a0"/>
    <w:link w:val="a3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image" Target="media/image1.jpg"/><Relationship Id="rId7" Type="http://schemas.openxmlformats.org/officeDocument/2006/relationships/image" Target="media/image2.jpg"/><Relationship Id="rId8" Type="http://schemas.openxmlformats.org/officeDocument/2006/relationships/image" Target="media/image3.jpg"/><Relationship Id="rId9" Type="http://schemas.openxmlformats.org/officeDocument/2006/relationships/image" Target="media/image4.jpg"/><Relationship Id="rId10" Type="http://schemas.openxmlformats.org/officeDocument/2006/relationships/image" Target="media/image5.emf"/><Relationship Id="rId11" Type="http://schemas.openxmlformats.org/officeDocument/2006/relationships/image" Target="media/image6.emf"/><Relationship Id="rId12" Type="http://schemas.openxmlformats.org/officeDocument/2006/relationships/hyperlink" Target="http://www.tuad.nsk.ru" TargetMode="External"/><Relationship Id="rId13" Type="http://schemas.openxmlformats.org/officeDocument/2006/relationships/image" Target="media/image7.emf"/><Relationship Id="rId14" Type="http://schemas.openxmlformats.org/officeDocument/2006/relationships/image" Target="media/image8.emf"/><Relationship Id="rId15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Arial"/>
        <a:cs typeface="Arial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Р7-Офис/2024.1.3.422</Application>
  <Characters>4621</Characters>
  <CharactersWithSpaces>5421</CharactersWithSpaces>
  <Company/>
  <DocSecurity>0</DocSecurity>
  <HyperlinksChanged>false</HyperlinksChanged>
  <Lines>38</Lines>
  <LinksUpToDate>false</LinksUpToDate>
  <Pages>11</Pages>
  <Paragraphs>10</Paragraphs>
  <ScaleCrop>false</ScaleCrop>
  <SharedDoc>false</SharedDoc>
  <Template>Normal</Template>
  <TotalTime>15</TotalTime>
  <Words>810</Word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8</cp:revision>
  <dcterms:created xsi:type="dcterms:W3CDTF">2024-06-26T08:44:00Z</dcterms:created>
  <dcterms:modified xsi:type="dcterms:W3CDTF">2024-06-27T03:19:00Z</dcterms:modified>
</cp:coreProperties>
</file>