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7642" w:rsidRDefault="00527642">
      <w:pPr>
        <w:rPr>
          <w:noProof/>
          <w:lang w:val="en-US"/>
        </w:rPr>
      </w:pPr>
      <w:r w:rsidRPr="00527642">
        <w:rPr>
          <w:noProof/>
          <w:lang w:val="en-US"/>
        </w:rPr>
        <w:drawing>
          <wp:inline distT="0" distB="0" distL="0" distR="0">
            <wp:extent cx="5940425" cy="8395225"/>
            <wp:effectExtent l="19050" t="0" r="3175" b="0"/>
            <wp:docPr id="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srcRect/>
                    <a:stretch>
                      <a:fillRect/>
                    </a:stretch>
                  </pic:blipFill>
                  <pic:spPr bwMode="auto">
                    <a:xfrm>
                      <a:off x="0" y="0"/>
                      <a:ext cx="5940425" cy="8395225"/>
                    </a:xfrm>
                    <a:prstGeom prst="rect">
                      <a:avLst/>
                    </a:prstGeom>
                    <a:noFill/>
                    <a:ln w="9525">
                      <a:noFill/>
                      <a:miter lim="800000"/>
                      <a:headEnd/>
                      <a:tailEnd/>
                    </a:ln>
                  </pic:spPr>
                </pic:pic>
              </a:graphicData>
            </a:graphic>
          </wp:inline>
        </w:drawing>
      </w:r>
    </w:p>
    <w:p w:rsidR="00C54BB2" w:rsidRPr="00C54BB2" w:rsidRDefault="00527642" w:rsidP="00C54BB2">
      <w:r>
        <w:rPr>
          <w:noProof/>
        </w:rPr>
        <w:lastRenderedPageBreak/>
        <w:drawing>
          <wp:inline distT="0" distB="0" distL="0" distR="0">
            <wp:extent cx="5940425" cy="8395225"/>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sidR="00C54BB2" w:rsidRPr="00C54BB2">
        <w:rPr>
          <w:noProof/>
          <w:sz w:val="24"/>
          <w:szCs w:val="24"/>
        </w:rPr>
        <w:t xml:space="preserve"> </w:t>
      </w:r>
    </w:p>
    <w:p w:rsidR="00C54BB2" w:rsidRDefault="00C54BB2" w:rsidP="00C54BB2">
      <w:pPr>
        <w:rPr>
          <w:lang w:val="en-US"/>
        </w:rPr>
      </w:pPr>
    </w:p>
    <w:p w:rsidR="00C54BB2" w:rsidRDefault="00C54BB2" w:rsidP="00C54BB2">
      <w:pPr>
        <w:rPr>
          <w:lang w:val="en-US"/>
        </w:rPr>
      </w:pPr>
    </w:p>
    <w:p w:rsidR="00C54BB2" w:rsidRDefault="00C54BB2" w:rsidP="00C54BB2">
      <w:pPr>
        <w:rPr>
          <w:lang w:val="en-US"/>
        </w:rPr>
      </w:pPr>
    </w:p>
    <w:p w:rsidR="00C54BB2" w:rsidRDefault="00C54BB2" w:rsidP="00C54BB2">
      <w:pPr>
        <w:rPr>
          <w:lang w:val="en-US"/>
        </w:rPr>
      </w:pPr>
    </w:p>
    <w:p w:rsidR="00C54BB2" w:rsidRPr="00C54BB2" w:rsidRDefault="00C54BB2" w:rsidP="00C54BB2">
      <w:pPr>
        <w:jc w:val="center"/>
        <w:rPr>
          <w:rFonts w:ascii="Times New Roman" w:hAnsi="Times New Roman" w:cs="Times New Roman"/>
          <w:sz w:val="24"/>
          <w:szCs w:val="24"/>
        </w:rPr>
      </w:pPr>
      <w:r w:rsidRPr="00C54BB2">
        <w:rPr>
          <w:rFonts w:ascii="Times New Roman" w:hAnsi="Times New Roman" w:cs="Times New Roman"/>
          <w:sz w:val="24"/>
          <w:szCs w:val="24"/>
        </w:rPr>
        <w:lastRenderedPageBreak/>
        <w:t>Государственный контракт № 2013.107096</w:t>
      </w:r>
    </w:p>
    <w:p w:rsidR="00C54BB2" w:rsidRPr="00C54BB2" w:rsidRDefault="00C54BB2" w:rsidP="00C54BB2">
      <w:pPr>
        <w:jc w:val="center"/>
        <w:rPr>
          <w:rFonts w:ascii="Times New Roman" w:hAnsi="Times New Roman" w:cs="Times New Roman"/>
          <w:sz w:val="24"/>
          <w:szCs w:val="24"/>
        </w:rPr>
      </w:pPr>
      <w:r w:rsidRPr="00C54BB2">
        <w:rPr>
          <w:rFonts w:ascii="Times New Roman" w:hAnsi="Times New Roman" w:cs="Times New Roman"/>
          <w:sz w:val="24"/>
          <w:szCs w:val="24"/>
        </w:rPr>
        <w:t>на выполнение подрядных работ по строительству и реконструкции автомобильных дорог и дорожных сооружений общего пользования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г. Новосибирск                                                                                     </w:t>
      </w:r>
      <w:r w:rsidRPr="00C54BB2">
        <w:rPr>
          <w:rFonts w:ascii="Times New Roman" w:hAnsi="Times New Roman" w:cs="Times New Roman"/>
          <w:sz w:val="24"/>
          <w:szCs w:val="24"/>
          <w:lang w:val="en-US"/>
        </w:rPr>
        <w:t xml:space="preserve">                                                </w:t>
      </w:r>
      <w:r w:rsidRPr="00C54BB2">
        <w:rPr>
          <w:rFonts w:ascii="Times New Roman" w:hAnsi="Times New Roman" w:cs="Times New Roman"/>
          <w:sz w:val="24"/>
          <w:szCs w:val="24"/>
        </w:rPr>
        <w:t xml:space="preserve">     « 09» июля  </w:t>
      </w:r>
      <w:smartTag w:uri="urn:schemas-microsoft-com:office:smarttags" w:element="metricconverter">
        <w:smartTagPr>
          <w:attr w:name="ProductID" w:val="2013 г"/>
        </w:smartTagPr>
        <w:r w:rsidRPr="00C54BB2">
          <w:rPr>
            <w:rFonts w:ascii="Times New Roman" w:hAnsi="Times New Roman" w:cs="Times New Roman"/>
            <w:sz w:val="24"/>
            <w:szCs w:val="24"/>
          </w:rPr>
          <w:t>2013 г</w:t>
        </w:r>
      </w:smartTag>
      <w:r w:rsidRPr="00C54BB2">
        <w:rPr>
          <w:rFonts w:ascii="Times New Roman" w:hAnsi="Times New Roman" w:cs="Times New Roman"/>
          <w:sz w:val="24"/>
          <w:szCs w:val="24"/>
        </w:rPr>
        <w:t>.</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Громенко Константина Геннадьевича, действующего на основании Устава, от имени Новосибирской области, в целях обеспечения государственных нужд, с одной стороны, и Открытое акционерное общество «Сибмост», именуемое в дальнейшем «Подрядчик», в лице генерального директора Кошкина Владислава Альбертовича, действующего на основании Устава, с другой стороны, вместе именуемые Стороны в соответствии с Законом Новосибирской области от 17.12.2012 года № 284-ОЗ «Об областном бюджете Новосибирской области на 2013 год и плановый период 2014 и 2015 годов», постановлением Правительства Новосибирской области от 29.08.2011 года № 382-п «Об утверждении долгосрочной целевой программы «Развитие промышленно-логистического парка на территории Новосибирской области на 2011 – 2015 годы», распоряжением правительства Новосибирской области от 14.05.2013г  № 211-рп «О заключении долгосрочного государственного контракта», протоколом подведения итогов открытого аукциона в электронной форме от 20 июня 2013 года № 2 заключили настоящий Государственный Контракт (далее – Контракт) о нижеследующем: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 ПРЕДМЕТ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 целях развития сети автомобильных дорог общего пользования Новосибирской области Заказчик поручает, а Подрядчик обязуется выполнить в соответствии с условиями настоящего Контракта и на основании свидетельства о допуске к работам, которые оказывают влияние на безопасность объектов капитального строительства № 0053.13-2009-5407127899-С-017 от 12 декабря 2011г. выданного саморегулируемой организацией, подрядные работы по строительству (далее – Строительство) автомобильной дороги «1432 км а/д «М-51» – Промышленно-логистический парк» (далее – Объект) в соответствии с условиями настоящего Контракта, «Техническим заданием» (Приложение № 1), являющимся неотъемлемой частью настоящего Контракта, и утвержденной проектной и рабочей документацией (далее Проект), обеспечив сдачу Объекта в эксплуатацию: </w:t>
      </w:r>
      <w:smartTag w:uri="urn:schemas-microsoft-com:office:smarttags" w:element="metricconverter">
        <w:smartTagPr>
          <w:attr w:name="ProductID" w:val="3,809 км"/>
        </w:smartTagPr>
        <w:r w:rsidRPr="00C54BB2">
          <w:rPr>
            <w:rFonts w:ascii="Times New Roman" w:hAnsi="Times New Roman" w:cs="Times New Roman"/>
            <w:sz w:val="24"/>
            <w:szCs w:val="24"/>
          </w:rPr>
          <w:t>3,809 км</w:t>
        </w:r>
      </w:smartTag>
      <w:r w:rsidRPr="00C54BB2">
        <w:rPr>
          <w:rFonts w:ascii="Times New Roman" w:hAnsi="Times New Roman" w:cs="Times New Roman"/>
          <w:sz w:val="24"/>
          <w:szCs w:val="24"/>
        </w:rPr>
        <w:t xml:space="preserve"> автомобильной дороги.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обязуется принять выполненную работу и оплатить её на условиях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 своей деятельности Заказчик и Подрядчик руководствуются законодательством Российской Федерации, нормативными правовыми актами Новосибирской области, отраслевыми нормативными документами, нормативными документами, приведенными в «Перечне нормативно-технических документов, обязательных при выполнении дорожных работ» (Приложение № 3), РД-11-02-2006, РД-11-05-2007, СТО ТУАД 02-2009, СТО ТУАД 03 (ИССО)-2009, техническими регламентами, а также настоящим Контрактом.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 обязуется выполнить все работы по Строительству Объекта, указанного в п. 1.1 Контракта, в соответствии с условиями Контракта и по Проекту.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 обязуется в соответствии с Контрактом завершить все работы и сдать в установленном порядке Объект, пригодный к эксплуатации, в сроки, установленные п. 3.1.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2. УПРАВЛЕНИЕ КОНТРАКТОМ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Интересы Заказчика по Контракту представляют: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Буланов Михаил Юрьевич – главный инженер, Дорошенко Николай Сергеевич – начальник отдела капитального строительства.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Строительный контроль за выполнением строительно-монтажных работ и приемку выполненных Подрядчиком работ осуществляют ответственные работники Заказчика, которые уполномочены руководителем подписывать акты о приемке выполненных работ по форме КС-2, справки о стоимости выполненных работ и затрат по форме КС-3 и другие документы на основании выдаваемых в порядке ст. 185 Гражданского кодекса РФ доверенностей.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Интересы Подрядчика по Контракту представляют: сотрудники Подрядчика, которые уполномочены руководителем организации получать предписания Заказчика и уполномоченной им организации, подписывать документы во исполнение настоящего Контракта, акты о приемке выполненных работ по форме КС-2, справки о стоимости выполненных работ и затрат по форме КС-3 и другие документы на основании доверенностей, выданных в порядке, предусмотренном ст. 185 Гражданского кодекса РФ, и которые представляются Заказчику не позднее, чем за 3 (три) рабочих дня до подписания указанных документов и при смене доверенного лица.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 взаимоотношения Сторон при исполнении Контракта оформляются Сторонами только в письменном виде, при этом письменные указания Подрядчику могут даваться в журнале учета выполнения работ и журнале авторского надзора (при его осуществлении), которые постоянно находятся на Объекте.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Полномочные представители Подрядчика обязаны по приглашению Заказчика принимать участие в совещаниях, проводимых для обсуждения вопросов, связанных со Строительством Объекта.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 ОБЪЕМЫ И СРОКИ ВЫПОЛНЕНИЯ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Объемы и сроки выполнения работ по этапам, дата сдачи Объекта в эксплуатацию определяются «Графиком выполнения работ по этапам» (Приложение № 2), являющимся неотъемлемой частью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«Календарный график производства и приемки работ» (Приложения №№ 1, 2, 3 к Приложению № 2) включает в себя разбивку объемов работ в денежном выражении в текущих ценах соответствующих лет.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Начало выполнения работ по Контракту: дата заключения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выполнения работ I этапа (</w:t>
      </w:r>
      <w:smartTag w:uri="urn:schemas-microsoft-com:office:smarttags" w:element="metricconverter">
        <w:smartTagPr>
          <w:attr w:name="ProductID" w:val="2014 г"/>
        </w:smartTagPr>
        <w:r w:rsidRPr="00C54BB2">
          <w:rPr>
            <w:rFonts w:ascii="Times New Roman" w:hAnsi="Times New Roman" w:cs="Times New Roman"/>
            <w:sz w:val="24"/>
            <w:szCs w:val="24"/>
          </w:rPr>
          <w:t>2014 г</w:t>
        </w:r>
      </w:smartTag>
      <w:r w:rsidRPr="00C54BB2">
        <w:rPr>
          <w:rFonts w:ascii="Times New Roman" w:hAnsi="Times New Roman" w:cs="Times New Roman"/>
          <w:sz w:val="24"/>
          <w:szCs w:val="24"/>
        </w:rPr>
        <w:t>.): 31.12.2014 г.</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выполнения работ II этапа (</w:t>
      </w:r>
      <w:smartTag w:uri="urn:schemas-microsoft-com:office:smarttags" w:element="metricconverter">
        <w:smartTagPr>
          <w:attr w:name="ProductID" w:val="2015 г"/>
        </w:smartTagPr>
        <w:r w:rsidRPr="00C54BB2">
          <w:rPr>
            <w:rFonts w:ascii="Times New Roman" w:hAnsi="Times New Roman" w:cs="Times New Roman"/>
            <w:sz w:val="24"/>
            <w:szCs w:val="24"/>
          </w:rPr>
          <w:t>2015 г</w:t>
        </w:r>
      </w:smartTag>
      <w:r w:rsidRPr="00C54BB2">
        <w:rPr>
          <w:rFonts w:ascii="Times New Roman" w:hAnsi="Times New Roman" w:cs="Times New Roman"/>
          <w:sz w:val="24"/>
          <w:szCs w:val="24"/>
        </w:rPr>
        <w:t>.): 31.12.2015 г.</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выполнения работ III этапа (</w:t>
      </w:r>
      <w:smartTag w:uri="urn:schemas-microsoft-com:office:smarttags" w:element="metricconverter">
        <w:smartTagPr>
          <w:attr w:name="ProductID" w:val="2016 г"/>
        </w:smartTagPr>
        <w:r w:rsidRPr="00C54BB2">
          <w:rPr>
            <w:rFonts w:ascii="Times New Roman" w:hAnsi="Times New Roman" w:cs="Times New Roman"/>
            <w:sz w:val="24"/>
            <w:szCs w:val="24"/>
          </w:rPr>
          <w:t>2016 г</w:t>
        </w:r>
      </w:smartTag>
      <w:r w:rsidRPr="00C54BB2">
        <w:rPr>
          <w:rFonts w:ascii="Times New Roman" w:hAnsi="Times New Roman" w:cs="Times New Roman"/>
          <w:sz w:val="24"/>
          <w:szCs w:val="24"/>
        </w:rPr>
        <w:t>.): 02.09.2016 г.</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сдачи Объекта в эксплуатацию: 07.09.2016 г.</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Объем работ по Контракту должен быть выполнен в соответствии с «Техническим заданием» (Приложение № 1), «Графиком выполнения работ по этапам» (Приложение № 2) и «Календарным графиком производства и приемки работ» (Приложения № 1, 2, 3 к Приложению №2).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Даты окончания выполнения работ по этапам, а также дата сдачи Объекта в эксплуатацию, определенные п. 3.1 Контракта и «Графиком выполнения работ по этапам» (Приложение №2), </w:t>
      </w:r>
      <w:r w:rsidRPr="00C54BB2">
        <w:rPr>
          <w:rFonts w:ascii="Times New Roman" w:hAnsi="Times New Roman" w:cs="Times New Roman"/>
          <w:sz w:val="24"/>
          <w:szCs w:val="24"/>
        </w:rPr>
        <w:lastRenderedPageBreak/>
        <w:t xml:space="preserve">являются моментом, с которого применяются санкции, предусмотренные настоящим Контрактом, в случае нарушения сроков выполнения работ и сдачи Объекта в эксплуатацию.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Невыполнение «Календарного графика производства и приемки работ» (Приложения № 1, 2, 3 к Приложению № 2) по вине Подрядчика является основанием расторжения Контракта (п. 17.2.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 ЦЕНА КОНТРАКТА, ФОРМЫ И ПОРЯДОК ФИНАНСИРОВАНИЯ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Цена Контракта твердая и составляет 1 445 781 285,00 (Один миллиард четыреста сорок пять миллионов семьсот восемьдесят одна тысяча двести восемьдесят пять) рублей 00 коп., с учетом НДС  (с учетом коэффициента снижения по торгам – 0,975).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Объем ассигнований составляет: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 2014 год – 249 600 000,00 (Двести сорок девять миллионов шестьсот тысяч) рублей 00 копеек, с учетом НДС.</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 2015 год – 721 500 000,00 (Семьсот двадцать один миллион пятьсот тысяч) рублей 00 копеек, с учетом НДС.</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Объем средств на 2016 год составляет 474 681 285,00 (Четыреста семьдесят четыре миллиона шестьсот восемьдесят одна тысяча двести восемьдесят пять) рублей 00 копеек, с учетом НДС.</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страхование, уплату таможенных пошлин, налогов, сборов и других обязательных платежей, а также иные расходы, связанные с исполнением Подрядчиком своих обязательств по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Цена Контракта является твёрдой и не может изменяться в ходе его исполнения. Цена Контракта может быть снижена по соглашению Сторон без изменения предусмотренных Контрактом объёма работ и иных условий исполнения Контракта.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Источником финансирования являются средства областного бюджета Новосибирской области, поступающие Заказчику по подразделу «Дорожное хозяйство (дорожные фонды)», по статье «Долгосрочной целевой программы «Развитие промышленно-логистического парка на территории Новосибирской области на 2011 – 2015 годы» Строительство и реконструкция автомобильных дорог и дорожных сооружений общего пользования (КБК расходов 176 0409 5225800 411 310).</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Стоимость выполненных работ определяется на основании утвержденной сметной документации в ценах на I квартал 2011 года с пересчетом сметной стоимости строительства в текущий уровень цен с применением индексов-дефляторов (на 2012 год – 1,07, на 2013 год –1,07, на 2014 год – 1,06, на 2015 год – 1,06, на 2016 год - 1,065), примененных в расчете начальной (максимальной) цены Контракта и с учетом результата торгов (коэффициент снижения – 0,975).</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 стоимости выполненных работ, перешедших по вине Подрядчика на следующий год из-за не соблюдения им «Графика выполнения работ по этапам» (Приложение № 2), индекс-дефлятор следующего года не применяется.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Сведения о валюте, используемой для формирования цены Контракта и расчетов с Подрядчиком: рубль Российской Федерации.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 ПРОЕКТНАЯ И РАБОЧАЯ ДОКУМЕНТАЦИЯ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На основании и в соответствии с переданным Заказчиком Проектом, Подрядчик должен разработать документацию, необходимую для Строительства Объекта, его отдельных конструктивных элементов, чертежи сложных вспомогательных устройств и временных зданий и сооружений, в том числе - организационно-технологическую документацию (проект производства работ), включающую технологические карты, регламентирующие технологию отдельных видов работ с целью обеспечения их надлежащего качества, мероприятия по обеспечению нормальных условий твердения бетонных смесей в период отрицательных температур, в течение 10 дней после заключения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 наличии замечаний Заказчика Подрядчик обязан внести изменения в разработанную организационно-технологическую документацию (проект производства работ) в сроки, установленные Заказчиком.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вправе при необходимости вносить изменения в Проект и корректировать структуру сводного сметного расчета в соответствии с Градостроительным Кодексом Российской Федерации, если данная корректировка не влияет на изменение цены Контракта и объемов работ, указанных в и «Календарных графиках производства и приемки работ» (Приложения № 1, 2, 3 к Приложению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Данные изменения оформляются соглашением в соответствии с действующим законодательством РФ.</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 исполнении Контракта Стороны руководствуются «Перечнем нормативно-технических документов, обязательных при выполнении дорожных работ» (Приложение № 3).</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 ПРАВА И ОБЯЗАННОСТИ ЗАКАЗЧИКА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обязуется: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Передать Подрядчику земельный участок под Строительство Объекта на период Строительства, в пределах постоянного и временного отвода, согласно Проекту.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Передать Подрядчику Проект, утвержденный к производству работ, в течение 2 (двух) рабочих дней с даты заключения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течение семи дней с даты получения письменного запроса Подрядчика передать ему по акту геодезическую разбивочную основу (ГРО).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ГРО передается Подрядчику при толщине снежного покрова не более </w:t>
      </w:r>
      <w:smartTag w:uri="urn:schemas-microsoft-com:office:smarttags" w:element="metricconverter">
        <w:smartTagPr>
          <w:attr w:name="ProductID" w:val="20 см"/>
        </w:smartTagPr>
        <w:r w:rsidRPr="00C54BB2">
          <w:rPr>
            <w:rFonts w:ascii="Times New Roman" w:hAnsi="Times New Roman" w:cs="Times New Roman"/>
            <w:sz w:val="24"/>
            <w:szCs w:val="24"/>
          </w:rPr>
          <w:t>20 см</w:t>
        </w:r>
      </w:smartTag>
      <w:r w:rsidRPr="00C54BB2">
        <w:rPr>
          <w:rFonts w:ascii="Times New Roman" w:hAnsi="Times New Roman" w:cs="Times New Roman"/>
          <w:sz w:val="24"/>
          <w:szCs w:val="24"/>
        </w:rPr>
        <w:t>. При большей толщине снежного покрова ГРО может быть передана Подрядчику при условии обеспечения им очистки от снега пунктов и знаков закрепления вручную.</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Осуществлять строительный контроль в процессе Строительства Объекта в целях проверки соответствия выполняемых работ Проекту, требованиям технических регламентов, результатам инженерных изысканий (далее – контроль за Строительством), в порядке, предусмотренном СНиП 3.06.03-85, СНиП 3.06.04-91, ВСН 19-89, настоящим Контрактом и другими нормативно-правовыми актами, производить промежуточную приемку выполненных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выявления дефектов на Объекте Строительства, возникших в период гарантийного срока, в течение 5 рабочих дней направить Подрядчику письменное извещение о выявленных на гарантийном участке дефектах, необходимости направления уполномоченного представителя Подрядчика для участия в комиссии по обследованию гарантийного участка с фиксированием в акте выявленных дефектов и определением сроков их устранения.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Производить оформление отвода земель под Строительство, кроме земель под сосредоточенные резервы и карьеры.</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Давать письменные разъяснения Подрядчику, связанные с производством работ на Объекте, в течение 5 рабочих дней со дня получения письменного запроса Подрядчика.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Уведомить Подрядчика в письменной форме о привлечении юридических лиц или индивидуальных предпринимателей (далее – инженерной организации) для осуществления контроля за Строительством.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Выполнить в полном объеме все свои обязательства, предусмотренные в других пунктах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имеет право: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 целях обеспечения качества и соответствия выполняемых работ по Строительству Объекта утвержденному Проекту осуществлять авторский надзор, строительный контроль силами проектных, инженерных организаций на договорной основе.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или уполномоченные им лица и организации, выполняющие строительный контроль (в том числе авторский надзор, независимый лабораторный контроль, диагностику и др.) имеют право производить любые измерения, испытания, отборы образцов и взвешивания для контроля качества работ, материалов и конструкций, выполненных, произведенных или поставленных по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 осуществлении строительного контроля за строительством Заказчик и привлечённая им инженерная организация не вправе вмешиваться в оперативно-хозяйственную деятельность Подрядчика.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 обнаружении отступлений от Проекта, требований нормативно-технических документов, настоящего Контракта и приложений к нему давать обязательные для Подрядчика предписания (распоряжения):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 приостановке работ до установленного Заказчиком срока в случае: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несоответствия их Проекту;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неблагоприятных (недопустимых по требованиям технических условий) погодных условий;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невыполнения Подрядчиком распоряжений Заказчика в установленные сроки;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наступления обстоятельств непреодолимой силы;</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изменения бюджетного финансирования по подразделу «Дорожное хозяйство (дорожные фонды)», по статье «Долгосрочная целевая программа «Развитие промышленно-логистического парка на территории Новосибирской области на 2011 – 2015 годы» Строительство и реконструкция автомобильных дорог и дорожных сооружений общего пользования, областного закона о бюджете;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если дальнейшее выполнение работ может угрожать безопасности возводимого сооружения, либо при выполнении работ не соблюдаются требования экологической безопасности, безопасности дорожного движения и других норм, обеспечивающих безопасность строящихся сооружений и находящихся вблизи него объектов;</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о запрещении применения технологий, материалов и конструкций, не обеспечивающих установленный нормативными документами уровень качества, удалении со строительной площадки в установленные Заказчиком сроки таких материалов, конструкций, изделий и оборудования и замене их на материалы, конструкции, изделия и оборудование, удовлетворяющее требованиям Проекта и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 издержки, вызванные приостановлением работ по указанным выше причинам несет Подрядчик, при этом сроки приостановления работ в этом случае не могут служить основанием для продления срока завершения работ по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Распоряжения (предписания) отдаются уполномоченными лицами Заказчика в письменном виде на имя представителя Подрядчика (п. 2.2. Контракта) с указанием даты его подписания и срока исполнения.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Направлять предложения о замене Субподрядчиков и инженерно-технических работников Подрядчика, в случае их некомпетентности в выполнении порученных им технологических процессов и выполнения ими работ по Контракту с нарушениями технологии производства работ, требований строительных норм и правил.</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 любое время до погашения аванса выполненными работами проводить проверку наличия заготовленных Подрядчиком на объекте материалов, как по качеству, так и по их количеству.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Производить соответствующие записи в журналы учета выполнения работ при Строительстве Объекта.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Беспрепятственного доступа ко всем видам работ в любое время суток в течение всего периода Строительства.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досрочного исполнения Подрядчиком обязательств, осуществлять приемку/освидетельствование выполненных работ в предусмотренные Контрактом сроки согласно «Техническому заданию» (Приложение № 1), «Календарным графикам производства и приемки работ» (Приложения № 1, 2, 3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 ПРАВА И ОБЯЗАННОСТИ ПОДРЯДЧИКА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 обязуется: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Получить по месту нахождения Заказчика утвержденный в установленном порядке Проект, необходимый для производства работ по настоящему Контракту, в течение двух рабочих дней с даты заключения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Выполнить работы в объеме и сроки, предусмотренные настоящим Контрактом и сдать Объект Заказчику с качеством, соответствующим условиям Проекта и требованиям нормативных документов, приведенных в «Перечне нормативно-технических документов, обязательных при выполнении дорожных работ» (Приложение № 3), СТО ТУАД 02-2009, СТО ТУАД 03 (ИССО)-2009 (размещены на сайте www.tuad.nsk.ru), технических регламентов, принятых в установленном порядке, и другой нормативной документации.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Уведомить Заказчика в письменной форме о привлечении субподрядных организаций. Нести перед Заказчиком имущественную ответственность за качество, сроки и объемы работ, выполненных субподрядными организациями.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Получать в установленном порядке лицензии (либо другие разрешительные документы, предусмотренные действующим законодательством), в том числе на недропользование для разработки карьеров, водопользование и пользование водными объектами.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Производить оформление временного отвода земель под сосредоточенные резервы и карьеры.</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Осуществлять производство работ на земельном участке, отведенном под Строительство Объекта в границах земельного отвода, указанных в Проекте.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Возмещать затраты Заказчика по временному отводу земель под Строительство  Объекта при невыполнении по вине Подрядчика сроков и объемов работ, установленных Контрактом.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Представить в течение трех дней с даты заключения Контракта соответствующие требованиям РД-11-05-2007 «Порядок ведения общего и (или) специального журнала учета выполнения работ при строительстве, реконструкции, капитальном ремонте объектов капитального строительства» общий и специальные журналы, в которых с момента начала работ на Объекте и до его завершения будет вестись учет выполненных работ.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Представлять при Строительстве Объекта исполнительную производственно-техническую документацию с сопроводительным письмом и описью прилагаемых документов в соответствии с:</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РД-11-02-2006 «Требования к составу и порядку ведения исполнительной документации при строительстве, реконструкции, капитальном ремонте объектов капитального строительства и требования, предъявляемые к актам освидетельствования работ, конструкций, участков сетей инженерно-технического обеспечения»: акты освидетельствования геодезической разбивочной основы, акты разбивки осей объекта капитального строительства на местности, акты освидетельствования работ, которые оказывают влияние на безопасность объекта (скрытых работ), акты освидетельствования ответственных конструкций, акты освидетельствования участков сетей инженерно-технического обеспечения, устранение выявленных в процессе проведения строительного контроля недостатков, рабочая документация на Строительство Объекта;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51872-2002: исполнительные схемы;</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СТО ТУАД 02-2009, сто ТУАД 03(ИССО)-2009, размещёнными на сайте Заказчика </w:t>
      </w:r>
      <w:hyperlink r:id="rId12" w:history="1">
        <w:r w:rsidRPr="00C54BB2">
          <w:rPr>
            <w:rFonts w:ascii="Times New Roman" w:hAnsi="Times New Roman" w:cs="Times New Roman"/>
            <w:sz w:val="24"/>
            <w:szCs w:val="24"/>
          </w:rPr>
          <w:t>www.tuad.nsk.ru</w:t>
        </w:r>
      </w:hyperlink>
      <w:r w:rsidRPr="00C54BB2">
        <w:rPr>
          <w:rFonts w:ascii="Times New Roman" w:hAnsi="Times New Roman" w:cs="Times New Roman"/>
          <w:sz w:val="24"/>
          <w:szCs w:val="24"/>
        </w:rPr>
        <w:t>;</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иную исполнительную документацию.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С момента начала строительно-монтажных работ вести на объекте фото-видеофиксацию хода производства работ, подтверждающую надлежащее исполнение всех видов работ. Сброшюрованный фотоальбом должен содержать не менее 50 фотографий скрытых работ (ответственных конструкций), не менее 25 фотографий состояния объекта после завершения работ, все фотографии должны иметь текстовое пояснение. Материалы фото-видеофиксации должны быть представлены Заказчику на бумажном и электронном носителях в составе исполнительной документации.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Выполнить работы из материалов Подрядчика. Обеспечить постоянный контроль качества выполняемых работ, применяемых материалов, конструкций и изделий, с привлечением аттестованных, технически оснащенных компетентных лабораторий, которые должны отвечать требованиям законодательства о техническом регулировании, требованиям Приказа Минэкономразвития России от 16.10.2012 № 682 «Об утверждении Критериев аккредитации органов по сертификации и испытательных лабораторий (центров) и требований к ним» в части, касающейся испытательных лабораторий.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До начала производства работ на Объекте: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 соответствии с требованиями методических указаний «Организация движения и ограждение места производства дорожных работ», Москва, </w:t>
      </w:r>
      <w:smartTag w:uri="urn:schemas-microsoft-com:office:smarttags" w:element="metricconverter">
        <w:smartTagPr>
          <w:attr w:name="ProductID" w:val="2009 г"/>
        </w:smartTagPr>
        <w:r w:rsidRPr="00C54BB2">
          <w:rPr>
            <w:rFonts w:ascii="Times New Roman" w:hAnsi="Times New Roman" w:cs="Times New Roman"/>
            <w:sz w:val="24"/>
            <w:szCs w:val="24"/>
          </w:rPr>
          <w:t>2009 г</w:t>
        </w:r>
      </w:smartTag>
      <w:r w:rsidRPr="00C54BB2">
        <w:rPr>
          <w:rFonts w:ascii="Times New Roman" w:hAnsi="Times New Roman" w:cs="Times New Roman"/>
          <w:sz w:val="24"/>
          <w:szCs w:val="24"/>
        </w:rPr>
        <w:t>. (согласованы Департаментом ОБДД МВД РОССИИ 19.02.2009 г. - письмо № 13/6-1029), ГОСТ Р 52289-2004 разработать схемы организации движения и ограждений мест производства работ, согласовать их с ОГИБДД района по месту нахождения Объекта и включить их в организационно-технологическую документацию (проект производства работ) на текущий год;</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получить письменное согласие организации, в ведении которой находятся линии связи или линии радиофиксации, на производство всех видов работ (за исключением вспашки на глубину не более </w:t>
      </w:r>
      <w:smartTag w:uri="urn:schemas-microsoft-com:office:smarttags" w:element="metricconverter">
        <w:smartTagPr>
          <w:attr w:name="ProductID" w:val="0,3 м"/>
        </w:smartTagPr>
        <w:r w:rsidRPr="00C54BB2">
          <w:rPr>
            <w:rFonts w:ascii="Times New Roman" w:hAnsi="Times New Roman" w:cs="Times New Roman"/>
            <w:sz w:val="24"/>
            <w:szCs w:val="24"/>
          </w:rPr>
          <w:t>0,3 м</w:t>
        </w:r>
      </w:smartTag>
      <w:r w:rsidRPr="00C54BB2">
        <w:rPr>
          <w:rFonts w:ascii="Times New Roman" w:hAnsi="Times New Roman" w:cs="Times New Roman"/>
          <w:sz w:val="24"/>
          <w:szCs w:val="24"/>
        </w:rPr>
        <w:t>), связанных с вскрытием грунта в охранной зоне линий связи.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Согласовать с органами государственного надзора (в т. ч. ГИБДД) порядок ведения работ на Объекте и обеспечить его соблюдение.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Проектом.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Принять по акту приемки-передачи ГРО в соответствии с п. 6.1.2 и обеспечить сохранность на местности принятых от Заказчика пунктов и знаков закрепления ГРО.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Самостоятельно за свой счет выполнить в объеме, достаточном для производства всех разбивочных работ, сгущение точек геодезической разбивочной основы, произвести их закрепление на местности и обеспечить сохранность, выполнить детальную разбивку оси трассы, сохраняя её на весь период Строительства в соответствии с Проектом на основе переданной Заказчиком ГРО, проводить геодезический контроль геометрических параметров строящегося сооружения.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Нести ответственность за правильность разбивки осей сооружения, его высотного положения, размеров всех его частей.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Контроль, проводимый Заказчиком за ходом выполнения геодезических работ, не освобождает Подрядчика от ответственности за правильность их исполнения.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Обеспечить своевременную поверку и калибровку средств измерений для осуществления геодезического и лабораторного контроля.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Обеспечить и содержать за свой счет инженерные коммуникации, освещение, ограждение строительной площадки, охрану строящегося Объекта, а также материалов, оборудования, стоянки строительной техники и другого имущества и сооружений, необходимых для строительства Объекта на строительной площадке с момента начала строительства до подписания акта приемочной комиссией.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Изготовить и установить за свой счет в начале участка производства работ информационный щит размером 1,5 х 1,5 м, с указанием следующих сведений: вид работ, наименование Заказчика, наименование Подрядчика, его контактные телефоны, сроки проведения работ (начало и окончание).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Представлять Заказчику в течение 5 дней со дня получения запроса письменные разъяснения по ходу строительства Объекта.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Выполнять на месте производства работ необходимые мероприятия по охране труда и охране окружающей среды согласно Проекту.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Производить уборку и вывоз остатков конструкций, материалов, мусора, а также рекультивацию строительной площадки с оформлением акта на рекультивацию земель. До начала приемки работ приемочной комиссией представлять Заказчику копии актов о рекультивации сосредоточенных и притрассовых резервов, площадок хранения инертных материалов и закончивших свое действие притрассовых производственных баз (АБЗ, ЦБЗ и др.).</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Исполнять полученные в ходе строительного контроля указания Заказчика, представителей авторского и (или) государственного строительного надзора, не противоречащие условиям Контракта. Устранять все нарушения по замечаниям Заказчика, данным в порядке, предусмотренном п. 2.3.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течение 5 (пяти) рабочих дней представлять Заказчику сведения об устранении полученных замечаний в письменном виде.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Обеспечить своевременное устранение недостатков и дефектов, выявленных при приемке/освидетельствовании работ и в течение гарантийного срока эксплуатации Объекта в соответствии с п. 9.2 Контракта. Исправлять дефекты, допущенные при выполнении работ, за свой счет в согласованные с Заказчиком сроки.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Наличие дефектов,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района, представители ГИБДД, представители подрядных организаций, выполняющие комплекс работ по содержанию автомобильных дорог и дорожных сооружений. Акт подписывается представителями выше названных организаций. Один экземпляр акта передается Подрядчику для исполнения.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Немедленно известить Заказчика и до получения от него указаний приостановить работы при обнаружении: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обстоятельств, угрожающих сохранности и/или прочности строящегося Объекта, либо создающих невозможность завершения работ в установленный срок;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возможных неблагоприятных для Заказчика последствий выполнения его указаний о способе выполнения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Нести ответственность за безопасное и бесперебойное движение транзитного транспорта по автодороге, в том числе за отсутствие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строительных работ и до сдачи Объекта в эксплуатацию. Не допускать за исключением согласованных случаев перерывов движения по ним.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Компенсировать Заказчику, пользователям дорог, третьим лицам вред (включая судебные издержки), в случае его причинения вследствие нарушения Подрядчиком требований к производству работ, предъявляемых в соответствии с Контрактом.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Предоставлять Заказчику для проведения приёмки/освидетельствования выполненных работ автотранспорт (для проезда от места дислокации строительных организаций до места производства работ и обратно) и помещение (комнату), оборудованную необходимой оргтехникой. В случае проведения по вине Подрядчика повторной приемки/освидетельствования скрытых работ и ответственных конструкций Подрядчик обязан предоставлять Заказчику автотранспорт от здания ГКУ НСО ТУАД до места производства работ и обратно.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По запросу Заказчика представлять аналитическую информацию и исполнительную документацию о строящемся Объекте, в том числе на электронных носителях. Представлять Заказчику ежемесячно (телефонограммой) до 05 числа текущего месяца сведения об ожидаемом выполнении текущего месяца.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Представлять по требованию Заказчика банковские и иные документы об оплате материалов, услуг для подтверждения целевого использования бюджетных средств, перечисленных в целях исполнения п. 8.19.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Не позднее чем за 2 (два) дня извещать телефонограммой Заказчика о дате готовности к освидетельствованию скрытых работ и ответственных конструкций.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Передать Заказчику по окончании Строительства Объекта схемы расположения и каталоги геодезических знаков координат и высот, устанавливаемых при геодезических разбивочных работах в период Строительства и сохраняемых до его окончания, и исполнительную документацию о выполненных строительных и монтажных работах, а также электронный паспорт Объекта.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расторжения Контракта вернуть Заказчику полученный Проект в десятидневный срок с момента расторжения. В случае утраты Проекта восстановить его за свой счет.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Оказывать содействие Заказчику в случае проведения проверок, проводимых в отношении Заказчика контролирующими органами на Объекте. При проведении проверок, производимых Государственным строительным надзором, визировать акты промежуточных проверок и акт итоговой проверки (на экземпляре Заказчика).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соответствии с Проектом обустроить и содержать временные подъездные дороги, а также обеспечить сохранность используемых при строительстве дорог, принадлежащих третьим лицам.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10-дневный срок до подписания акта приемочной комиссии вывезти за пределы строительной площадки принадлежащие Подрядчику строительные машины, оборудование, инвентарь, инструменты, строительные материалы и другое имущество, а также очистить Объект от строительного мусора, временных сооружений и провести рекультивацию временно занимаемых земель в соответствии с Проектом.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обнаружения ошибок в Проекте, если эти ошибки были выявлены Подрядчиком после проведения торгов в ходе исполнения заключенного Контракта, в течение одного дня уведомить Заказчика в письменной форме, с использованием в письме принятой в дорожной отрасли терминологии, четкой классификацией проектных ошибок, указанием численных отклонений фактических значений, условий и других показателей от принятых в проекте.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Разработать и согласовать с отделом контроля качества Заказчика подборы составов цементобетонных, асфальтобетонных смесей, цементно-песчаного раствора, грунтов, укрепленных органическими и неорганическими вяжущими.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Выполнить в полном объеме все свои обязательства, предусмотренные в других пунктах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Письменно согласовать с Заказчиком досрочное выполнение обязательств по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Подрядчик имеет право: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7.2.1.</w:t>
      </w:r>
      <w:r w:rsidRPr="00C54BB2">
        <w:rPr>
          <w:rFonts w:ascii="Times New Roman" w:hAnsi="Times New Roman" w:cs="Times New Roman"/>
          <w:sz w:val="24"/>
          <w:szCs w:val="24"/>
        </w:rPr>
        <w:tab/>
        <w:t xml:space="preserve"> Требовать письменных указаний и разъяснений Заказчика по любому вопросу, связанному с производством работ по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 ПОРЯДОК ПРИЕМКИ И ОПЛАТЫ ВЫПОЛНЕННЫХ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Приемке подлежат выполненные объемы работ в пределах утвержденных бюджетных ассигнований, установленных п. 4.1. Контракта.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 выполнении Подрядчиком работ сверх выделенных бюджетных ассигнований на соответствующий период, Заказчик производит освидетельствование фактически выполненных работ. Освидетельствование выполненных работ производится Заказчиком только после осмотра выполненных работ в натуре и представления Подрядчиком материалов фото-видеофиксации и исполнительной документации в соответствии с п. 8.3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Оформление актов освидетельствования выполненных досрочно работ осуществляется по форме, представленной в Приложении № 4 к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Приёмка освидетельствованных работ осуществляется в соответствии с утверждёнными бюджетными ассигнованиями, установленными п. 4.1. Контракта, с применением индексов-дефляторов на соответствующий год приемки работ и коэффициента снижения по торгам согласно п. 4.3.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вправе отказать Подрядчику в освидетельствовании выполненных работ, если их объем и качество не соответствуют требованиям Проекта и настоящего Контракта, не подтверждаются исполнительной и другой технической документацией. В случае отказа Заказчика от освидетельствования выполненных работ Подрядчику выдается предписание, в котором указывается на необходимость устранения нарушений и устанавливается дата повторного освидетельствования. Повторное освидетельствование работ производится только после письменного уведомления Заказчика об устранении Подрядчиком нарушений.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Приемка выполненных работ производится Заказчиком ежемесячно согласно «Календарному графику производства и приемки работ» (Приложения № 1, 2, 3 к Приложению № 2) только после осмотра выполненных работ в натуре и представления Подрядчиком материалов фото-видеофиксации, полного комплекта надлежащим образом оформленной и подписанной исполнительной документации по конструктивным элементам, в соответствии с представленными в РД-11-02-2006, ГОСТ Р 51872-2002, СТО ТУАД 02-2009, СТО ТУАД 03(ИССО)-2009 формами производственно-технической исполнительной документации на выполненные скрытые работы и ответственные конструкции.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 ежемесячной приемкой выполненных работ понимается приемка Заказчиком выполненных Подрядчиком работ за отчетный период в сроки, указанные в «Календарном графике производства и приемки работ» (Приложения № 1, 2, 3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Отчетным периодом считается: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 в первый месяц приемки работ период: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2014 году c 01.01.2014 г. до 25.03.2014 г., в соответствии с «Календарным графиком производства и приемки работ» (Приложение № 1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2015 году c 01.01.2015 г. до 25.03.2015 г., в соответствии с «Календарным графиком производства и приемки работ» (Приложение № 2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в 2016 году c 01.01.2016 г. до 25.03.2016 г., в соответствии с «Календарным графиком производства и приемки работ» (Приложение № 3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последующие месяцы приемки работ период с 26 числа предыдущего месяца до 25 числа текущего месяца;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последний месяц приемки работ период с 26 числа предыдущего месяца до даты окончания работ на объекте в соответствии с п. 3.1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вправе отказать Подрядчику в приемке выполненных работ, если их объем и качество не соответствуют требованиям Проекта и настоящего Контракта, не подтверждаются исполнительной и другой технической документацией. В случае отказа Заказчика от приемки выполненных работ Подрядчику выдается предписание, в котором указывается на необходимость устранения нарушений и устанавливается дата повторной приёмки. Повторная приемка работ производится только после письменного уведомления Заказчика об устранении Подрядчиком нарушений.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Если Заказчик не был проинформирован об освидетельствовании скрытых работ и ответственных конструкций в соответствии с п. 7.1.28. настоящего Контракта, информирован с опозданием, либо неявка Заказчика явилась следствием неисполнения Подрядчиком требования пункта 7.1.25. настоящего Контракта, то по требованию Заказчика Подрядчик обязан за свой счет вскрыть конструкцию и затем восстановить её за свой счет.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Заказчик ежемесячно принимает выполненные объемы работ не позднее 25 числа текущего месяца. Оформление актов о приемке выполненных работ по форме КС-2 производится на электронных и бумажных носителях на основании данных журнала учета выполненных работ по форме КС-6а, ведущегося Подрядчиком. Оформление справок о стоимости выполненных работ и затрат по форме КС-3 производится на основании акта о приемке выполненных работ по форме КС-2 в управлении Заказчика на дату фактической приемки.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Акты о приемке выполненных работ по форме КС-2 и журнал учета выполненных работ по форме КС-6а должны оформляться в программе EXCEL c использованием связей между ячейками или с использованием программы Гранд смета (или ином универсальном формате, работающем со всеми сметными программами).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Превышение Подрядчиком проектных объемов и стоимости работ по Объекту Заказчиком не принимается и не оплачивается.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Приемка/освидетельствование выполненных работ и конструктивных элементов, качество которых не может быть подтверждено лабораторными испытаниями, которые в соответствии с установленными методиками испытаний не могут быть выполнены в одном и том же отчетном периоде, что и выполненные Подрядчиком строительно-монтажные работы по Строительству Объекта, производится в размере 50 % от сметной стоимости данных работ и конструктивных элементов. Окончательная приемка производится только после получения результатов лабораторных испытаний, подтверждающих качество и соответствие Проекту данных выполненных работ и конструктивных элементов. В случае несоответствия работ и конструктивных элементов проекту Заказчик вправе отказаться от ранее принятых объемов работ, а Подрядчик обязан возвратить ранее полученные денежные средства по акту о приемке выполненных работ по форме КС-2 и устранить несоответствия в сроки, определенные Заказчиком. Повторная приемка/освидетельствование данных работ производится в соответствии с пп. 8.2, 8.3. Контракта и с учетом санкций в соответствии с разделом 11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Приемка/освидетельствование конструктивных элементов, при устройстве которых применялся монолитный бетон, производится после подтверждения соответствия класса бетона требованиям проектной и рабочей документации.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Выполненные строительно-монтажные работы принимаются Заказчиком с учётом прочих и непредвиденных работ и затрат, затрат на временные здания и сооружения на следующих условиях:</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накладные расходы и сметная прибыль согласно МДС 81-33.2004 и МДС 81-25.2001 (с изменениями) начисляются от фонда оплаты (ФОТ) труда с применением коэффициентов по письмам Минрегиона РФ от 06.12.2010 г. № 41099-кк/08, от 01.03.2011 г. № 4391-кк/08, от 21.02.2011 г. №3757-КК/08;</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затраты на временные здания и сооружения принимаются за фактически построенные временные здания и сооружения согласно п. 3.2 ГСН 81-05-01-2001 в соответствии с организационно-технологической документацией в пределах сметного лимита;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затраты на снегоборьбу принимаются только в зимний период согласно сборнику сметных норм дополнительных затрат при производстве строительно-монтажных работ в зимнее время (п. 8 «в» ГСН 81-05-02-2001 «Сборник сметных норм дополнительных затрат при производстве строительно-монтажных работ в зимнее время») при подтверждении справками гидрометеорологической службы за фактически выполненные работы на основании соответствующих норм Сборника ГЭСН № 1 «Земляные работы» (Таблица ГЭСН 01-02-087 Уборка снега со строительных площадок и дорог) в пределах сметного лимита;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дополнительные затраты при выполнении строительно-монтажных работ в зимнее время принимаются круглогодично по среднезимним нормам в размере сметного норматива статьи затрат согласно разделу 1 ГСН 81-05-02-2001 «Сборник сметных норм дополнительных затрат при производстве строительно-монтажных работ в зимнее время») в пределах сметного лимита, учтенного в расчете начальной (максимальной) цены строительства;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затраты на покрытие затрат по добровольному имущественному страхованию принимаются по фактическим затратам Подрядчика, подтверждённым платёжными документами, в пределах сметного лимита;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непредвиденные работы и затраты принимаются за обоснованные фактические затраты Подрядчика, произведенные по согласованию с Заказчиком, но не более 1,5 % от итога глав сводного сметного;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затраты на перевозку работников принимаются в пределах сметного лимита;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средства на другие прочие затраты (вахтовый метод, плата за загрязнение окружающей среды) принимаются в пределах сметного лимита по каждой статье затрат.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Вышеуказанные затраты принимаются Заказчиком при наличии их в утверждённой сметной документации и в расчете начальной (максимальной) цены Контракта. Сметы на непредвиденные работы и затраты, возникшие в ходе производства работ по Объекту, а также на возведение временных зданий и сооружений, затраты на которые предусмотрены утверждённым Проектом, разрабатываются Подрядчиком за свой счет и представляются на утверждение Заказчику. Расходы на разработку смет на непредвиденные работы и затраты и временные здания и сооружения возмещению Заказчиком не подлежат.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Приемка фактически выполненных непредвиденных работ и затрат, а также возведенных временных зданий и сооружений производится по актам о приемке выполненных работ по форме КС-2 и справкам о стоимости выполненных работ и затрат по форме КС-3 или с включением их стоимости в акты о приемке выполненных работ по форме КС-2 и справки о стоимости выполненных работ и затрат по форме КС-3 с обязательным приложением расшифровки стоимости принятых непредвиденных работ и затрат и временных зданий и сооружений к акту о приемке выполненных работ по форме КС-2.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При определении выполненных объемов строительно-монтажных работ в составе незавершенного производства в акты приемки выполненных работ, подписанные Заказчиком и Подрядчиком, кроме стоимости завершенных конструктивных элементов и видов работ может быть включена также стоимость незаконченных конструктивных элементов, видов строительных работ или их частей, сметная стоимость которых определяется с учетом процентов их готовности, приведенных в приложении к письму Госстроя СССР и Стройбанка СССР от 14.08.1986 № 53-Д/227 «О порядке определения объема строительно-монтажных работ в составе незавершенного производства».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Порядок включения незавершенных объемов в акты приемки выполненных строительно-монтажных работ: незавершенные объемы работ включаются в акты приемки выполненных строительно-монтажных работ, если соответствие частично выполненного конструктивного элемента (вида работ) подтверждается промежуточным актом, составленным Подрядчиком и Заказчиком с приложением документов, подтверждающих объемы, качество и соответствие проекту.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Подрядчик не позднее, чем за 10 дней до начала работы рабочей комиссии обязан представить Заказчику официальное извещение об окончании работ на Объекте и предложение о дате проведения рабочей комиссии.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Подрядчик передает одновременно с извещением об окончании работ: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перечень организаций, участвовавших в выполнении строительно-монтажных работ, с указанием видов выполненных ими работ и фамилий инженерно-технических работников, непосредственно ответственных за их выполнение;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комплект рабочей или технической документации на Строительство Объекта с надписями о соответствии выполненных в натуре работ этим документам или внесенным в них изменениям, сделанными Подрядчиком;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два комплекта исполнительной документации (оригинал и копию; общий журнал и специальные журналы учета выполненных работ передаются без копий), соответствующей требованиям документов, указанных в п. 7.1.8.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материалы фото-видеофиксации;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проект акта рабочей комиссии;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акты рекультивации временной полосы отвода, сосредоточенных и притрассовых резервов, площадок хранения материалов, закончивших свое действие производственных баз, временных сооружений, объездов и дорог старого направления, подлежащих рекультивации.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 случае непредставления Подрядчиком документации, установленной п. 8.12. Контракта, в полном объёме Заказчик вправе назначить дату проведения рабочей комиссии через 5 рабочих дней после представления полного комплекта документации.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Заказчик, после получения в полном объеме указанных в п. 8.12. Контракта документов, до приемки Объекта в эксплуатацию организует выполнение комплекса обследований и диагностики принимаемого в эксплуатацию Объекта.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выявления фактов некачественного выполнения работ по Объекту, подтвержденных заключениями, полученными по результатам обследований и диагностики или при проведении рабочей комиссии, все выявленные дефекты и недоделки устраняются Подрядчиком за счёт собственных средств, в течение 5 дней. После устранения всех недоделок и дефектов, Подрядчик письменно извещает Заказчика об их устранении и готовности Объекта к предъявлению приемочной комиссии.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После получения от Подрядчика извещения об устранении недоделок и дефектов Заказчик назначает место и дату проведения приемочной комиссии. Дата приемочной комиссии не может быть предложена позднее даты окончания работ, указанной в п. 3.1 настоящего Контракта, в случае выполнения работ Подрядчиком в предусмотренный Контрактом срок.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Акт о приемке выполненных работ формы КС-2 за последний отчетный период III этапа подписывается Заказчиком в течение одного рабочего дня с момента подписания акта сдачи объекта в эксплуатацию приемочной комиссией.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Дополнительная экспертиза, испытание, диагностическое обследование принимаемой Заказчиком части работ или Объекта в целом осуществляется по решению Заказчика и за его счет.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уплачивает Подрядчику аванс в размере 30% от объема ассигнований на соответствующий финансовый год, установленного п. 4.1 Контракта, на приобретение материалов для целей настоящего Контракта на основании письменной заявки, согласованной с Заказчиком, и счета, предъявленного Подрядчиком к оплате, в течение 30 дней с даты получения Заказчиком счёта.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Сумма выданного аванса учитывается Заказчиком при промежуточных расчетах за выполненные и принятые объемы работ путем вычетов пропорционально суммам принятых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Расчеты за принятые Заказчиком работы производятся путем безналичного перечисления денежных средств на расчетный счет Подрядчика, указанный в Контракте в течение 1 месяца с даты подписания Сторонами актов о приемке выполненных работ по форме КС-2 и справок о стоимости выполненных работ и затрат по форме КС-3.</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Оплата принятых Заказчиком работ осуществляется на основании подписанных Подрядчиком и Заказчиком актов о приемке выполненных работ по форме КС-2, справок о стоимости выполненных работ и затрат по форме КС-3, счета и счёт-фактуры.</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Окончательный расчет по Объекту производится в месячный срок после приемки законченного Строительством Объекта в эксплуатацию приемочной комиссией и подписания Акта приемочной комиссии о приемке законченного Строительством Объекта.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 ГАРАНТИИ КАЧЕСТВА ПО СДАННЫМ РАБОТАМ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Гарантии качества на результат работ распространяются на Объект и все его конструктивные элементы, работы, выполненные Подрядчиком и субподрядчиками по настоящему Контракту. Гарантийные обязательства оформляются в виде паспорта в составе Акта приемочной комиссии при приемке Объекта в эксплуатацию.</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подписания акта приемочной комиссией считается датой приемки Объекта в эксплуатацию. С этой даты начинается гарантийный срок. Гарантийный срок устанавливается: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 xml:space="preserve">земляное полотно </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4 года;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асфальтобетонное покрытие</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4 года;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цементобетонное покрытие</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4 года;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водопропускные трубы</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5 лет;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путепровод</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10 лет;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дорожные знаки, сигнальные столбики</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2 года;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металлическое барьерное ограждение</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4 года;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разметка краской</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6 мес.</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Для проведения гарантийного обследования Подрядчик обязан направить своего полномочного представителя для участия в комиссии в срок, указанный в извещении Заказчика.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 Заказчиком.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 отказе Подрядчика от устранения недостатков, при невыполнении гарантийных обязательств в указанные в акте проверки сроки (согласно п. 7.1.22. Контракта), Заказчик имеет право поручить их исправление третьему лицу. В этом случае понесенные затраты на устранение недостатков взыскиваются с Подрядчика. Размер понесенных затрат определяется по государственным сметным нормам на основании акта, оформленного в соответствии с п. 7.1.22.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Если Стороны не смогут в течение 15 дней согласовать решение о частичном или полном исполнении обязательств, предусмотренных пунктами 9.4., 9.5. настоящего Контракта, спор разрешается арбитражным судом Новосибирской области в порядке, установленном действующим законодательством.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 ПОРЯДОК КОНТРОЛЯ ЗА ВЫПОЛНЕНИЕМ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10.1.</w:t>
      </w:r>
      <w:r w:rsidRPr="00C54BB2">
        <w:rPr>
          <w:rFonts w:ascii="Times New Roman" w:hAnsi="Times New Roman" w:cs="Times New Roman"/>
          <w:sz w:val="24"/>
          <w:szCs w:val="24"/>
        </w:rPr>
        <w:tab/>
        <w:t>Контроль качества работ выполняется Сторонами в соответствии с требованиями ГОСТ, СНиП, ОСТ, ВСН, СТО ТУАД 02-2009, СТО ТУАД 03 (ИССО)-2009 и технических регламентов, принятых в установленном порядке. При производстве работ не допускаются любые отклонения от проекта и нормативной документации без согласования с Заказчиком.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Проекта (Проектировщиком), содержать все необходимые чертежи и расчеты для оценки их Техническим советом Заказчика. Предложения Подрядчика об изменении технических решений, не согласованные с Проектировщиком, рассмотрению не подлежат.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Работы, выполненные Подрядчиком в процессе проведения строительно-монтажных работ с изменением проектных решений без согласования с Проектировщиком и Заказчиком, приемке не подлежат.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10.2.</w:t>
      </w:r>
      <w:r w:rsidRPr="00C54BB2">
        <w:rPr>
          <w:rFonts w:ascii="Times New Roman" w:hAnsi="Times New Roman" w:cs="Times New Roman"/>
          <w:sz w:val="24"/>
          <w:szCs w:val="24"/>
        </w:rPr>
        <w:tab/>
        <w:t xml:space="preserve">Заказчик в течение всего срока действия Контракта контролирует качество и объемы выполненных работ с проведением соответствующих обследований, как собственными силами, </w:t>
      </w:r>
      <w:r w:rsidRPr="00C54BB2">
        <w:rPr>
          <w:rFonts w:ascii="Times New Roman" w:hAnsi="Times New Roman" w:cs="Times New Roman"/>
          <w:sz w:val="24"/>
          <w:szCs w:val="24"/>
        </w:rPr>
        <w:lastRenderedPageBreak/>
        <w:t>так и с привлечением организаций, выполняющих авторский надзор и строительный контроль качества, независимых испытательных лабораторий.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Контроль качества работ, выполняемый Заказчиком, не освобождает Подрядчика от выполнения им всех видов производственного контроля выполняемых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10.3.</w:t>
      </w:r>
      <w:r w:rsidRPr="00C54BB2">
        <w:rPr>
          <w:rFonts w:ascii="Times New Roman" w:hAnsi="Times New Roman" w:cs="Times New Roman"/>
          <w:sz w:val="24"/>
          <w:szCs w:val="24"/>
        </w:rPr>
        <w:tab/>
        <w:t>Заказчик и Подрядчик проводят совещания по предложению любой из Сторон для решения вопросов, возникших в процессе работ по Контракту. Предложения о проведении совещания должно быть направлено в адрес другой Стороны не позднее, чем за три дня до проведения совещания, совещание проводится у Заказчика либо на Объекте. Место проведения совещания определяется Заказчиком.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11. ОТВЕТСТВЕННОСТЬ СТОРОН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 несет ответственность в размере ущерба, причиненного сооружениям, памятникам, коммуникациям, растительности, государственной, муниципальной, частной собственности. Подрядчик производит восстановительные работы за свой счет до состояния, подобного или равноценного состоянию до нанесения ущерба.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 несет риск случайной гибели или случайного повреждения Объекта до его приемки в эксплуатацию по акту приемочной комиссии.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 случае нарушения Подрядчиком требований нормативных документов, приведенных в «Перечне нормативно-технических документов, обязательных при выполнении дорожных работ» (Приложение № 3), СТО ТУАД 02-2009, СТО ТУАД 03 (ИССО)-2009, технических регламентов и других нормативных документов, а также предписаний Заказчика, последний отказывает в приемке работ до устранения выявленных дефектов и повторной проверки качества работ за счет Подрядчика.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в случае нарушения Подрядчиком контрактных обязательств при приёмке работ удерживает из стоимости выполненных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 производство отдельных видов работ с нарушением технологии их производства и неустранение данных нарушений в течение 3 суток с момента их обнаружения Заказчиком – 50 000 (Пятьдесят тысяч) рублей за каждый случай;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 отклонение условий хранения материалов, конструкций и изделий от установленных технических требований – 0,1% стоимости данных материалов, конструкций и изделий;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 отклонение при выполнении работ от параметров, установленных Проектом и нормативными документами – 0,1% стоимости данного вида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за неисполнение и (или) ненадлежащее исполнение требований методических указаний «Организация движения и ограждение места производства дорожных работ», Москва, </w:t>
      </w:r>
      <w:smartTag w:uri="urn:schemas-microsoft-com:office:smarttags" w:element="metricconverter">
        <w:smartTagPr>
          <w:attr w:name="ProductID" w:val="2009 г"/>
        </w:smartTagPr>
        <w:r w:rsidRPr="00C54BB2">
          <w:rPr>
            <w:rFonts w:ascii="Times New Roman" w:hAnsi="Times New Roman" w:cs="Times New Roman"/>
            <w:sz w:val="24"/>
            <w:szCs w:val="24"/>
          </w:rPr>
          <w:t>2009 г</w:t>
        </w:r>
      </w:smartTag>
      <w:r w:rsidRPr="00C54BB2">
        <w:rPr>
          <w:rFonts w:ascii="Times New Roman" w:hAnsi="Times New Roman" w:cs="Times New Roman"/>
          <w:sz w:val="24"/>
          <w:szCs w:val="24"/>
        </w:rPr>
        <w:t>. (согласованы Департаментом ОБДД МВД РОССИИ 19.02.2009 г. - письмо № 13/6-1029), ГОСТ Р 52289-2004 – 50 000 рублей за каждый случай;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 нарушения при производстве работ, ставшие причинно-следственными условиями дорожно-транспортных происшествий – 100 000 рублей за каждый случай;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 нарушения Подрядчиком пункта 7.1.4. настоящего Контракта, Заказчик при приемке работ удерживает 0,4% от цены соответствующего этапа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за нарушения Подрядчиком пункта 7.1.1. настоящего Контракта, Заказчик при приемке работ удерживает 0,2% от цены I этапа.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нарушения Подрядчиком сроков, установленных п. 7.1.7. Контракта, Заказчик при приемке работ удерживает из стоимости выполненных работ 0,1% от цены I этапа.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нарушения Подрядчиком пункта 7.1.8. настоящего Контракта, Заказчик при приемке Объекта удерживает 0,003 % от цены Контракта из стоимости выполненных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в одностороннем порядке принимает решение об удержаниях, указанных в пп. 11.4., 11.5., 11.6.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невыполнения в отчетном периоде (за исключением последнего отчетного периода III этапа) объемов работ, предусмотренных «Календарным графиком производства и приемки работ» (Приложения № 1, 2, 3 к Приложению № 2), Заказчик при приемке работ удерживает из стоимости выполненных работ 0,2 % от стоимости невыполненных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Отчетный период определяется в соответствии с пунктом 8.3. Контракта, «Календарным графиком производства и приемки работ» (Приложения № 1, 2, 3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 приемке объемов работ Заказчиком в последнем отчетном периоде III этапа, удержание за нарушение срока выполнения работ в данном периоде, предусмотренного «Календарным графиком производства и приемки работ» (Приложение № 3 к Приложению № 2) не применяется. Начисление производится за нарушение срока сдачи Объекта в эксплуатацию в соответствии с пунктом 11.9.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нарушения установленного Контрактом срока сдачи Объекта в эксплуатацию, Подрядчик оплачивает пени в размере 0,2 % от цены III этапа работ за каждый день просрочки исполнения обязательства, на основании претензии Заказчика, в которой указывается расчет суммы начисленных пени и реквизиты для перечисления суммы пени в доход областного бюджета Новосибирской области. Сумма пени удерживается Заказчиком при приемке и оплате выполненных и принятых работ, о чем делается отметка в акте о приемке выполненных работ по форме КС-2. При невозможности удержания суммы пени при приемке и оплате работ (отсутствии актов по форме КС-2), пени в течение 15-ти календарных дней с даты получения претензии Заказчика уплачиваются Подрядчиком, в том числе из заложенных Подрядчиком денежных средств или гарантом по банковской гарантии.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 освидетельствовании выполненных работ удержания по пп. 11.4., 11.6. Контракта осуществляются при приемке выполненных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нарушения Подрядчиком сдачи выполненных работ в сроки, установленные Контрактом, и продлению по этой причине временного отвода земель, Подрядчик возмещает Заказчику стоимость понесенных затрат.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 несет ответственность за загрязнение окружающей среды,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Заказчику соответствующими органами санкций за указанные нарушения Подрядчик возмещает Заказчику понесенные расходы.</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настоящим Контрактом сроки.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Подрядчик не несет ответственности за неисполнение Контракта в срок, вызванное приостановлением работ в связи с неблагоприятными погодными условиями, если докажет влияние погодных условий на невозможность производства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Если объемы работ не выполнены Подрядчиком в сроки, установленные настоящим Контрактом, Подрядчик обязан по письменному требованию Заказчика возвратить Заказчику разницу между стоимостью выполненных и принятых работ (устанавливаемой из совместных документов о выполненных работах) и стоимостью всего полученного финансирования Подрядчиком для целей выполнения обязательств по настоящему Контракту. Указанная задолженность возвращается Подрядчиком Заказчику денежными средствами в трехдневный срок с момента предъявления Заказчиком указанного требования, если иной порядок возвращения задолженности не предусмотрен соглашением Сторон.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 случае, если следствием неисполнения Подрядчиком п. 18.4 Контракта явился возврат корреспонденции, направленной почтой по месту нахождения юридического лица, указанному в Контракте, Заказчик при приемке работ удерживает 5% от цены выполненных в отчетном периоде работ, в котором установлен факт нарушения Подрядчиком п. 18.4 Контракта.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Факт отсутствия по месту нахождения Подрядчика подтверждается почтовой корреспонденцией, Актом фиксирования и/ или другими документами.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просрочки исполнения Заказчиком обязательства, предусмотренного настоящим Контрактом, Подрядчик вправе потребовать уплату неустойки. Неустойка начисляется за каждый день просрочки исполнения обязательства, предусмотренного настоящим Контрактом, начиная со дня, следующего после дня истечения установленного настоящим Контрактом срока исполнения обязательства. Размер такой неустойки устанавливается в размере одной трехсотой действующей на день уплаты неустойки ставки рефинансирования Центрального банка Российской Федерации.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 освобождается от уплаты неустойки, если докажет, что просрочка исполнения указанного обязательства произошла вследствие непреодолимой силы или по вине другой Стороны.</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12. МАТЕРИАЛЫ, ОБОРУДОВАНИЕ И ВЫПОЛНЕНИЕ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 принимает на себя обязанность обеспечить строительство Объекта материалами, конструкциями оборудованием в соответствии с Проектом и требованиями нормативных документов, приведенных в «Перечне нормативно-технических документов, обязательных при выполнении дорожных работ» (Приложение № 3), согласно пункту 1 статьи 745 Гражданского кодекса РФ.</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 поставляемые для Строительства материалы, конструкции и оборудование должны иметь соответствующие сертификаты, технические паспорта, документированные результаты испытаний, удостоверяющие их качество, пройти входной лабораторный контроль. Копии этих сертификатов, технических паспортов и результатов испытаний должны быть предоставлены Заказчику до начала производства работ, выполняемых с использованием этих материалов, конструкций и оборудования.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Подрядчик обязан за счет своих средств силами аттестованных, технически оснащенных, компетентных лабораторий, с использованием поверенного надлежащим образом оборудованием, в ходе приемки поступающих на Объект материалов, конструкций и изделий, а также выполнения строительных работ, обеспечить предусмотренные Проектом испытания и измерения и </w:t>
      </w:r>
      <w:r w:rsidRPr="00C54BB2">
        <w:rPr>
          <w:rFonts w:ascii="Times New Roman" w:hAnsi="Times New Roman" w:cs="Times New Roman"/>
          <w:sz w:val="24"/>
          <w:szCs w:val="24"/>
        </w:rPr>
        <w:lastRenderedPageBreak/>
        <w:t>представить документированные результаты этих испытаний и измерений Заказчику до приемки им выполненных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13. СКРЫТЫЕ СТРОИТЕЛЬНЫЕ РАБОТЫ</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Работы, подлежащие выполнению, в соответствии с Проектом, «Техническим заданием» (Приложение № 1) и «Графиком выполнения работ по этапам» (Приложение № 2) должны приниматься и (или) освидетельствоваться представителями Заказчика и инженерной организацией в случае осуществления ею строительного контроля за Строительством Объекта. Подрядчик приступает к выполнению последующих работ только после освидетельствования скрытых работ и (или) приемки ответственных конструкций и составления актов. Подрядчик в письменном виде не менее чем за 2 дня до проведения освидетельствования выполненных скрытых работ и (или) промежуточной приемки ответственных конструкций, уведомляет Заказчика о необходимости проведения приемки и (или) освидетельствования. Акты освидетельствования скрытых работ и (или) приемки ответственных конструкций подписываются Подрядчиком и Заказчиком. В случае выполнения этих работ субподрядчиком, его представитель принимает участие в приемке скрытых работ и подписывает акт освидетельствования.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случае если представителем Заказчика внесены в журнал производства работ замечания по выполненным скрытым работам, то выполнение последующих работ на этом участке Подрядчиком без письменного разрешения Заказчика не допускается.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 каждому акту приемки скрытых работ обязательно должны прилагаться ведомости контрольных измерений (исполнительные схемы), результаты лабораторных испытаний применяемых материалов, сертификаты и паспорта на материалы, конструкции, изделия и фотографии согласно пункту 7.1.8.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Акты освидетельствования скрытых работ и приемки ответственных конструкций составляются в двух экземплярах – по одному для каждой из Сторон. В случае участия в приемке скрытых работ представителя субподрядчика, ему выдается копия 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Каждому акту освидетельствования скрытых работ и (или) приемки ответственных конструкций присваивается номер, акт регистрируется в общем журнале работ.</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14. РАСПРЕДЕЛЕНИЕ РИСКОВ</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 передачи Объекта Заказчику по акту приемки Объекта в эксплуатацию риск гибели или повреждения результата выполненных работ несёт Подрядчик.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Риск гибели или повреждения материалов, оборудования или иного, используемого для исполнения Контракта имущества несёт Подрядчик.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15. ОБСТОЯТЕЛЬСТВА НЕПРЕОДОЛИМОЙ СИЛЫ</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Стороны освобождаются от ответственности за частичное или полное неисполнение обязательств по настоящему Контракту, если оно явилось следствием обстоятельств непреодолимой силы (стихийные природные явления, военные действия и др.), на время действия этих обстоятельств, если эти обстоятельства негативно и непосредственно повлияли на исполнение настоящего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 xml:space="preserve">Если в результате обстоятельств непреодолимой силы Объекту был нанесен значительный, по мнению одной из Сторон, ущерб, то эта Сторона в установленном законом порядке обязана уведомить об этом другую в 2-х дневный срок.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Решение о полном или частичном неисполнении обязательств, являющихся следствием действия непреодолимой силы, оформляются соглашением.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16. ВНЕСЕНИЕ ИЗМЕНЕНИЙ В КОНТРАКТ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Внесение изменений в Контракт производится в порядке и случаях, предусмотренных действующим законодательством Российской Федерации, в том числе в случаях изменения доведенных Заказчику бюджетных ассигнований главным распорядителем бюджетных средств.</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Изменение, расторжение Контракта в случае установленных Контрактом и действующим законодательством  оформляются соглашениями к Контракту.</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17. ПОРЯДОК РАСТОРЖЕНИЯ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Расторжение Контракта возможно исключительно по соглашению Сторон или по решению суда по основаниям, предусмотренным гражданским законодательством Российской Федерации и настоящим Контрактом.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 требованию Заказчика Контракт может быть расторгнут по решению суда по следующим основаниям: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задержки Подрядчиком начала выполнения работ по этапам более чем на три недели по причинам, не зависящим от Заказчика, без объяснения причин;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нарушения Подрядчиком сроков (более двух раз) выполнения работ в отчётных периодах, предусмотренных «Календарными графиками производства и приемки работ» (Приложения № 1, 2, 3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нарушения Подрядчиком (более двух раз) требований нормативно-технических документов, обязательных при выполнении дорожных работ, указанных в Приложении № 3, к качеству выполненных работ. При этом соответствующими документами, подтверждающими нарушение требований по качеству, являются: двусторонний акт Заказчика и Подрядчика о выявленных нарушениях по качеству работ, предписания инженерной организации или Заказчика, и иные предписания контрольно-надзорных органов в области строительства;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консервации Объекта;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невыполнения Подрядчиком требований законодательства об обеспечении единства измерений;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прекращения действия свидетельства Подрядчика о допуске к работам по организации строительства, реконструкции и капитального ремонта привлекаемым застройщиком или заказчиком на основании договора юридическим лицом или индивидуальным предпринимателем (генеральным подрядчиком), предусмотренным Контрактом, либо прекращения его членства в саморегулируемой организации, предусмотренной действующим законодательством;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прекращения финансирования по независящим от Заказчика причинам, в том числе в связи с изменениями, вносимыми в Закон Новосибирской области от 17.12.2012 года № 284-ОЗ «Об областном бюджете Новосибирской области на 2013 год и плановый период 2014 и 2015 годов»;</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непредставления к сдаче работ за отчетный месяц в течение 30 последующих календарных дней, в том числе, если в этот период не устранены нарушения Проекта, нормативных документов, приведенных в «Перечне нормативно-технических документов, обязательных при выполнении дорожных работ» (Приложение № 3), СТО ТУАД 02-2009, СТО ТУАД 03 (ИССО)-2009, технических регламентов и других нормативных документов;</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если Подрядчик приступил к выполнению работ, но в течение 2-х месяцев выполняет их с отставанием от «Календарного графика производства и приемки работ» (Приложения № 1, 2, 3 к Приложению № 2) более чем на 50% в денежном выражении;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иных случаях, предусмотренных действующим законодательством и настоящим Контрактом.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указанных случаях Заказчик возмещает Подрядчику только фактические затраты, произведенные для выполнения работ по настоящему Контракту. За работы, выполненные некачественно, понесённые Подрядчиком расходы Заказчиком не возмещаются.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18. ПРОЧИЕ УСЛОВИЯ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Право собственности на Объект, созданный в результате выполнения настоящего Контракта, принадлежит Новосибирской области.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Подрядчик не имеет права распоряжаться Проектом на Строительство Объекта или отдельной его частью, передавать третьей стороне без письменного разрешения Заказчика (кроме передачи субподрядчику).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Обязательства Подрядчика переходят к правопреемнику вследствие реорганизации Подрядчика в форме преобразования, слияния или присоединения, что оформляется соглашением Сторон.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 случае изменения фактического и юридического адреса, платёжных реквизитов Сторона, у которой изменился адрес или платежные реквизиты, обязана направить другой Стороне соответствующий проект соглашения с приложением документов, подтверждающих изменения. При неисполнении данного обязательства все неблагоприятные последствия ложатся на уклонившуюся Сторону.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Контракт заключается только после предоставления участником открытого аукциона в электронной форме, с которым заключается Контракт, безотзывной банковской гарантии, выданной банком или иной кредитной организацией или передачи Заказчику в залог денежных средств, в том числе в форме вклада (депозита), в размере обеспечения исполнения Контракта, установленном документацией об открытом аукционе в электронной форме. Способ обеспечения исполнения Контракта из указанных в настоящей части способов определяется таким участником открытого аукциона в электронной форме самостоятельно. Если участником открытого аукциона в электронной форме, с которым заключается Контракт, является бюджетное учреждение, предоставление обеспечения исполнения Контракта не требуется.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Размер обеспечения исполнения настоящего Контракта, срок и порядок его предоставления: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Установлено обеспечение исполнения Контракта в размере 30 (тридцати) процентов от начальной (максимальной) цены Контракта, что составляет 444 855 780 (Четыреста сорок четыре миллиона восемьсот пятьдесят пять тысяч семьсот восемьдесят) рублей 00 копеек, в том числе: в части объема, срока, качества выполнения работ в размере 25 (двадцати пяти) процентов от начальной (максимальной) цены Контракта, что составляет 370 713 150 (Триста семьдесят миллионов семьсот тринадцать тысяч сто пятьдесят) рублей 00 копеек, в части предоставления гарантии качества работ на протяжении указанного в Контракте гарантийного срока в размере 5 (пяти) </w:t>
      </w:r>
      <w:r w:rsidRPr="00C54BB2">
        <w:rPr>
          <w:rFonts w:ascii="Times New Roman" w:hAnsi="Times New Roman" w:cs="Times New Roman"/>
          <w:sz w:val="24"/>
          <w:szCs w:val="24"/>
        </w:rPr>
        <w:lastRenderedPageBreak/>
        <w:t>процентов от начальной (максимальной) цены Контракта, составляет 74 142 630 (Семьдесят четыре миллиона сто сорок две тысячи шестьсот тридцать) рублей 00 копеек.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Договор залога и безотзывная банковская гарантия должны содержать следующие условия: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указание на Контракт, обязательства по которому обеспечиваются: Стороны Контракта, предмет и основание заключения Контракта (протокол торгов, иные основания в соответствии с законодательством о размещении заказов);</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срок действия обеспечения должен устанавливаться с учетом гарантийного срока исполнения подрядчиком гарантийных обязательств по Контракту и оканчиваться не ранее его завершения;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согласие гаранта, залогодателя с тем, что изменения и дополнения, внесенные в Контракт в соответствии с Федеральным законом от 21.07.2005 №94-ФЗ, не освобождают его от обязательств по предоставленному обеспечению;</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согласие гаранта, залогодателя с тем, что обеспечение сохраняет свое действие в случае реорганизации Подрядчика и Заказчика по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обязанность гаранта, залогодателя отвечать за полное исполнение Подрядчиком обязательств по Контракту, в том числе за исполнение таких обязательств, как: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выполнение Подрядчиком объемов работ;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соблюдения Подрядчиком сроков выполнения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соблюдения качества выполняемых работ Подрядчиком;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целевое расходование средств, полученных в качестве аванса;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предоставление Подрядчиком гарантии достижения Объектом Строительства указанных в Контракте технических показателей и возможности эксплуатации Объекта на протяжении указанного в Контракте гарантийного срока;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срок рассмотрения (не более 10 календарных дней) гарантом, залогодателем предъявленных требований;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обеспеченные обязательства должны быть исполнены гарантом, залогодателем в течение десяти календарных дней со дня получения требования Заказчика.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 затраты, связанные с заключением и оформлением договоров и иных документов по обеспечению исполнения Контракта, несёт участник открытого аукциона в электронной форме.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При возникновении между Заказчиком и Подрядчиком спора по поводу недостатков выполненной работы или их причин и невозможности урегулирования этого спора по требованию любой из Сторон может быть назначена экспертиза. Расходы на экспертизу несет Сторона, требовавшая назначения экспертизы. В случае установления нарушений Подрядчиком условий Контракта или причинной связи между действиями Подрядчика и обнаруженными недостатками, расходы на экспертизу, назначенную Заказчиком, несет Подрядчик. В случае если экспертиза назначена по соглашению Сторон, расходы несут обе Стороны поровну.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Отношения Сторон, не урегулированные настоящим Контрактом, регулируются законодательством Российской Федерации.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настоящего Контракта, иначе как с письменного согласия обеих Сторон. Подрядчик не вправе публиковать рекламу, касающуюся Объекта, в средствах массовой информации (СМИ) и в сети Интернет без письменного разрешения Заказчика.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Передача Подрядчиком третьим лицам прав и обязанностей по Контракту, в том числе уступка прав (требований), перевод долга, не допускается.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 приложения к настоящему Контракту являются его неотъемлемой частью.</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19. РЕШЕНИЕ СПОРНЫХ ВОПРОСОВ</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19.1.</w:t>
      </w:r>
      <w:r w:rsidRPr="00C54BB2">
        <w:rPr>
          <w:rFonts w:ascii="Times New Roman" w:hAnsi="Times New Roman" w:cs="Times New Roman"/>
          <w:sz w:val="24"/>
          <w:szCs w:val="24"/>
        </w:rPr>
        <w:tab/>
        <w:t xml:space="preserve">Спорные вопросы, возникающие в ходе исполнения Контракта, Стороны разрешают в претензионном порядке.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19.2.</w:t>
      </w:r>
      <w:r w:rsidRPr="00C54BB2">
        <w:rPr>
          <w:rFonts w:ascii="Times New Roman" w:hAnsi="Times New Roman" w:cs="Times New Roman"/>
          <w:sz w:val="24"/>
          <w:szCs w:val="24"/>
        </w:rPr>
        <w:tab/>
        <w:t>Претензия должна быть рассмотрена в 15-дневный срок с момента её получения. В случае полного или частичного отказа в удовлетворении претензии или неполучении в указанный срок ответа на претензию, спор рассматривается Арбитражным судом Новосибирской области в соответствии с действующим законодательством РФ.</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20. СРОК ДЕЙСТВИЯ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Срок действия Контракта: с даты заключения Контракта по « 31 » декабря 2016 года, но до полного исполнения Сторонами своих обязательств по настоящему Контракту.</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21. ЮРИДИЧЕСКИЕ АДРЕСА И ПЛАТЕЖНЫЕ РЕКВИЗИТЫ СТОРОН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Государственное казенное учреждение Новосибирской области «Территориальное управление автомобильных дорог Новосибирской области»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Юридический адрес: </w:t>
      </w:r>
      <w:smartTag w:uri="urn:schemas-microsoft-com:office:smarttags" w:element="metricconverter">
        <w:smartTagPr>
          <w:attr w:name="ProductID" w:val="630008, г"/>
        </w:smartTagPr>
        <w:r w:rsidRPr="00C54BB2">
          <w:rPr>
            <w:rFonts w:ascii="Times New Roman" w:hAnsi="Times New Roman" w:cs="Times New Roman"/>
            <w:sz w:val="24"/>
            <w:szCs w:val="24"/>
          </w:rPr>
          <w:t>630008, г</w:t>
        </w:r>
      </w:smartTag>
      <w:r w:rsidRPr="00C54BB2">
        <w:rPr>
          <w:rFonts w:ascii="Times New Roman" w:hAnsi="Times New Roman" w:cs="Times New Roman"/>
          <w:sz w:val="24"/>
          <w:szCs w:val="24"/>
        </w:rPr>
        <w:t>. Новосибирск, ул. Добролюбова, 111.</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Фактический адрес: </w:t>
      </w:r>
      <w:smartTag w:uri="urn:schemas-microsoft-com:office:smarttags" w:element="metricconverter">
        <w:smartTagPr>
          <w:attr w:name="ProductID" w:val="630009, г"/>
        </w:smartTagPr>
        <w:r w:rsidRPr="00C54BB2">
          <w:rPr>
            <w:rFonts w:ascii="Times New Roman" w:hAnsi="Times New Roman" w:cs="Times New Roman"/>
            <w:sz w:val="24"/>
            <w:szCs w:val="24"/>
          </w:rPr>
          <w:t>630009, г</w:t>
        </w:r>
      </w:smartTag>
      <w:r w:rsidRPr="00C54BB2">
        <w:rPr>
          <w:rFonts w:ascii="Times New Roman" w:hAnsi="Times New Roman" w:cs="Times New Roman"/>
          <w:sz w:val="24"/>
          <w:szCs w:val="24"/>
        </w:rPr>
        <w:t>. Новосибирск, ул. Никитина, 20/2 тел. 335-81-50</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ИНН 540 510 03 16,  КПП 540 501 001, р/с 402 018 102 000 001 000 45,</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УФК по Новосибирской области (МФ и НП НСО, ГКУ НСО ТУАД л/сч.160020021).</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Банк плательщика: ГРКЦ ГУ БАНКА РОССИИ по НОВОСИБИРСКОЙ ОБЛ.</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 НОВОСИБИРСК, БИК 045004001</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ПОДРЯДЧИК: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Открытое акционерное общество «Сибмост»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 xml:space="preserve">Почтовый и юридический адрес: </w:t>
      </w:r>
      <w:smartTag w:uri="urn:schemas-microsoft-com:office:smarttags" w:element="metricconverter">
        <w:smartTagPr>
          <w:attr w:name="ProductID" w:val="630099, г"/>
        </w:smartTagPr>
        <w:r w:rsidRPr="00C54BB2">
          <w:rPr>
            <w:rFonts w:ascii="Times New Roman" w:hAnsi="Times New Roman" w:cs="Times New Roman"/>
            <w:sz w:val="24"/>
            <w:szCs w:val="24"/>
          </w:rPr>
          <w:t>630099, г</w:t>
        </w:r>
      </w:smartTag>
      <w:r w:rsidRPr="00C54BB2">
        <w:rPr>
          <w:rFonts w:ascii="Times New Roman" w:hAnsi="Times New Roman" w:cs="Times New Roman"/>
          <w:sz w:val="24"/>
          <w:szCs w:val="24"/>
        </w:rPr>
        <w:t>. Новосибирск, Проспект Димитрова, 16</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ИНН 5407127899, КПП  546050001,   БИК 045005805</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р/с 40702810400504452230 в Новосибирском филиале ЗАО «ЮниКредит Банк», г. Новосибирск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к/счет 30101810000000000805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Телефон 222-34-21, факс 222-13-16</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Тел/факс: 222-06-01</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банк» 22. ПРИЛОЖЕНИЯ К НАСТОЯЩЕМУ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Приложения к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Техническое задание.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График выполнения работ по этапам.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Перечень нормативно-технических документов.</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Акт освидетельствования выполненных работ (Форма).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 </w:t>
      </w:r>
    </w:p>
    <w:tbl>
      <w:tblPr>
        <w:tblW w:w="9540" w:type="dxa"/>
        <w:tblInd w:w="108" w:type="dxa"/>
        <w:tblLook w:val="0000"/>
      </w:tblPr>
      <w:tblGrid>
        <w:gridCol w:w="4860"/>
        <w:gridCol w:w="4680"/>
      </w:tblGrid>
      <w:tr w:rsidR="00C54BB2" w:rsidRPr="00C54BB2" w:rsidTr="00A41E41">
        <w:tc>
          <w:tcPr>
            <w:tcW w:w="4860"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Начальник ГКУ НСО ТУАД</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 К.Г. Громенко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 П.</w:t>
            </w:r>
          </w:p>
        </w:tc>
        <w:tc>
          <w:tcPr>
            <w:tcW w:w="4680"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Генеральный директор ОАО «Сибмост»</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___________________ В.А. Кошкин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М.П.</w:t>
            </w:r>
          </w:p>
        </w:tc>
      </w:tr>
    </w:tbl>
    <w:p w:rsidR="00C54BB2" w:rsidRPr="00C54BB2" w:rsidRDefault="00C54BB2" w:rsidP="00C54BB2">
      <w:pPr>
        <w:rPr>
          <w:rFonts w:ascii="Times New Roman" w:hAnsi="Times New Roman" w:cs="Times New Roman"/>
          <w:sz w:val="24"/>
          <w:szCs w:val="24"/>
        </w:rPr>
        <w:sectPr w:rsidR="00C54BB2" w:rsidRPr="00C54BB2" w:rsidSect="009A105C">
          <w:headerReference w:type="even" r:id="rId13"/>
          <w:footerReference w:type="even" r:id="rId14"/>
          <w:footerReference w:type="default" r:id="rId15"/>
          <w:headerReference w:type="first" r:id="rId16"/>
          <w:footerReference w:type="first" r:id="rId17"/>
          <w:pgSz w:w="11906" w:h="16838" w:code="9"/>
          <w:pgMar w:top="567" w:right="567" w:bottom="567" w:left="1134" w:header="0" w:footer="0" w:gutter="0"/>
          <w:pgNumType w:start="1"/>
          <w:cols w:space="708"/>
          <w:titlePg/>
          <w:docGrid w:linePitch="360"/>
        </w:sect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Приложение № 1</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 Государственному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2013.107096 от 09.07.2013г.</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Техническое задание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 выполнение подрядных работ по строительству автомобильной дороги «1432 км а/д «М-51» – Промышленно-логистический парк»</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Основание для реализации Контракта: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Закон Новосибирской области от 17.12.2012 года № 284-ОЗ «Об областном бюджете Новосибирской области на 2013 год и плановый период 2014 и 2015 годов», постановлением Правительства Новосибирской области от 29.08.2011 года № 382-п «Об утверждении долгосрочной целевой программы «Развитие промышленно-логистического парка на территории Новосибирской области на 2011 – 2015 годы», распоряжение правительства Новосибирской области от 14.05.2013г  № 211-рп «О заключении долгосрочного государственного контракта», протокол подведения итогов открытого аукциона в электронной форме от 20 июня 2013 года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Основные характеристики объекта: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Автомобильная дорога «1432 км а/д «М-51» – Промышленно-логистический парк»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Протяженность                                                                </w:t>
      </w:r>
      <w:r w:rsidRPr="00C54BB2">
        <w:rPr>
          <w:rFonts w:ascii="Times New Roman" w:hAnsi="Times New Roman" w:cs="Times New Roman"/>
          <w:sz w:val="24"/>
          <w:szCs w:val="24"/>
        </w:rPr>
        <w:tab/>
      </w:r>
      <w:r w:rsidRPr="00C54BB2">
        <w:rPr>
          <w:rFonts w:ascii="Times New Roman" w:hAnsi="Times New Roman" w:cs="Times New Roman"/>
          <w:sz w:val="24"/>
          <w:szCs w:val="24"/>
        </w:rPr>
        <w:tab/>
        <w:t xml:space="preserve">– </w:t>
      </w:r>
      <w:smartTag w:uri="urn:schemas-microsoft-com:office:smarttags" w:element="metricconverter">
        <w:smartTagPr>
          <w:attr w:name="ProductID" w:val="3,809 км"/>
        </w:smartTagPr>
        <w:r w:rsidRPr="00C54BB2">
          <w:rPr>
            <w:rFonts w:ascii="Times New Roman" w:hAnsi="Times New Roman" w:cs="Times New Roman"/>
            <w:sz w:val="24"/>
            <w:szCs w:val="24"/>
          </w:rPr>
          <w:t>3,809 км</w:t>
        </w:r>
      </w:smartTag>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том числе:</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ab/>
      </w:r>
      <w:r w:rsidRPr="00C54BB2">
        <w:rPr>
          <w:rFonts w:ascii="Times New Roman" w:hAnsi="Times New Roman" w:cs="Times New Roman"/>
          <w:sz w:val="24"/>
          <w:szCs w:val="24"/>
        </w:rPr>
        <w:tab/>
        <w:t>ПЛП</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xml:space="preserve">– </w:t>
      </w:r>
      <w:smartTag w:uri="urn:schemas-microsoft-com:office:smarttags" w:element="metricconverter">
        <w:smartTagPr>
          <w:attr w:name="ProductID" w:val="1,848 км"/>
        </w:smartTagPr>
        <w:r w:rsidRPr="00C54BB2">
          <w:rPr>
            <w:rFonts w:ascii="Times New Roman" w:hAnsi="Times New Roman" w:cs="Times New Roman"/>
            <w:sz w:val="24"/>
            <w:szCs w:val="24"/>
          </w:rPr>
          <w:t>1,848 км</w:t>
        </w:r>
      </w:smartTag>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ab/>
      </w:r>
      <w:r w:rsidRPr="00C54BB2">
        <w:rPr>
          <w:rFonts w:ascii="Times New Roman" w:hAnsi="Times New Roman" w:cs="Times New Roman"/>
          <w:sz w:val="24"/>
          <w:szCs w:val="24"/>
        </w:rPr>
        <w:tab/>
        <w:t>М-51</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xml:space="preserve">– </w:t>
      </w:r>
      <w:smartTag w:uri="urn:schemas-microsoft-com:office:smarttags" w:element="metricconverter">
        <w:smartTagPr>
          <w:attr w:name="ProductID" w:val="1,961 км"/>
        </w:smartTagPr>
        <w:r w:rsidRPr="00C54BB2">
          <w:rPr>
            <w:rFonts w:ascii="Times New Roman" w:hAnsi="Times New Roman" w:cs="Times New Roman"/>
            <w:sz w:val="24"/>
            <w:szCs w:val="24"/>
          </w:rPr>
          <w:t>1,961 км</w:t>
        </w:r>
      </w:smartTag>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Категория дороги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ab/>
        <w:t>ПЛП</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I В (СНиП 2.05.07-91*)</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М-51</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I Б (СНиП 2.05.02-85*)</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Ширина земляного полотна поверху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ПЛП</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xml:space="preserve">– 36,4 – </w:t>
      </w:r>
      <w:smartTag w:uri="urn:schemas-microsoft-com:office:smarttags" w:element="metricconverter">
        <w:smartTagPr>
          <w:attr w:name="ProductID" w:val="38,4 м"/>
        </w:smartTagPr>
        <w:r w:rsidRPr="00C54BB2">
          <w:rPr>
            <w:rFonts w:ascii="Times New Roman" w:hAnsi="Times New Roman" w:cs="Times New Roman"/>
            <w:sz w:val="24"/>
            <w:szCs w:val="24"/>
          </w:rPr>
          <w:t>38,4 м</w:t>
        </w:r>
      </w:smartTag>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М-51</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xml:space="preserve">– 25,5 – </w:t>
      </w:r>
      <w:smartTag w:uri="urn:schemas-microsoft-com:office:smarttags" w:element="metricconverter">
        <w:smartTagPr>
          <w:attr w:name="ProductID" w:val="34,8 м"/>
        </w:smartTagPr>
        <w:r w:rsidRPr="00C54BB2">
          <w:rPr>
            <w:rFonts w:ascii="Times New Roman" w:hAnsi="Times New Roman" w:cs="Times New Roman"/>
            <w:sz w:val="24"/>
            <w:szCs w:val="24"/>
          </w:rPr>
          <w:t>34,8 м</w:t>
        </w:r>
      </w:smartTag>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Ширина полосы движения</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xml:space="preserve">– </w:t>
      </w:r>
      <w:smartTag w:uri="urn:schemas-microsoft-com:office:smarttags" w:element="metricconverter">
        <w:smartTagPr>
          <w:attr w:name="ProductID" w:val="3,75 м"/>
        </w:smartTagPr>
        <w:r w:rsidRPr="00C54BB2">
          <w:rPr>
            <w:rFonts w:ascii="Times New Roman" w:hAnsi="Times New Roman" w:cs="Times New Roman"/>
            <w:sz w:val="24"/>
            <w:szCs w:val="24"/>
          </w:rPr>
          <w:t>3,75 м</w:t>
        </w:r>
      </w:smartTag>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Тип покрытия</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капитальный</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Материал покрытия</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цементобетон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Путепровод:</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схема сооружения </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15+24+24+24+</w:t>
      </w:r>
      <w:smartTag w:uri="urn:schemas-microsoft-com:office:smarttags" w:element="metricconverter">
        <w:smartTagPr>
          <w:attr w:name="ProductID" w:val="15 м"/>
        </w:smartTagPr>
        <w:smartTag w:uri="urn:schemas-microsoft-com:office:smarttags" w:element="metricconverter">
          <w:smartTagPr>
            <w:attr w:name="ProductID" w:val="15 м"/>
          </w:smartTagPr>
          <w:r w:rsidRPr="00C54BB2">
            <w:rPr>
              <w:rFonts w:ascii="Times New Roman" w:hAnsi="Times New Roman" w:cs="Times New Roman"/>
              <w:sz w:val="24"/>
              <w:szCs w:val="24"/>
            </w:rPr>
            <w:t>15 м</w:t>
          </w:r>
        </w:smartTag>
      </w:smartTag>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длина </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xml:space="preserve">– </w:t>
      </w:r>
      <w:smartTag w:uri="urn:schemas-microsoft-com:office:smarttags" w:element="metricconverter">
        <w:smartTagPr>
          <w:attr w:name="ProductID" w:val="107,49 м"/>
        </w:smartTagPr>
        <w:r w:rsidRPr="00C54BB2">
          <w:rPr>
            <w:rFonts w:ascii="Times New Roman" w:hAnsi="Times New Roman" w:cs="Times New Roman"/>
            <w:sz w:val="24"/>
            <w:szCs w:val="24"/>
          </w:rPr>
          <w:t>107,49 м</w:t>
        </w:r>
      </w:smartTag>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габарит </w:t>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r>
      <w:r w:rsidRPr="00C54BB2">
        <w:rPr>
          <w:rFonts w:ascii="Times New Roman" w:hAnsi="Times New Roman" w:cs="Times New Roman"/>
          <w:sz w:val="24"/>
          <w:szCs w:val="24"/>
        </w:rPr>
        <w:tab/>
        <w:t>– 2x (Г</w:t>
      </w:r>
      <w:r w:rsidRPr="00C54BB2">
        <w:rPr>
          <w:rFonts w:ascii="Times New Roman" w:hAnsi="Times New Roman" w:cs="Times New Roman"/>
          <w:sz w:val="24"/>
          <w:szCs w:val="24"/>
        </w:rPr>
        <w:noBreakHyphen/>
        <w:t>15,25+1×0,75) 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Условия разработки и утверждения проектной документации:</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Проектная документация на «Строительство автомобильной дороги «1432 км а/д «М-51» – Промышленно-логистический парк», шифр: 1/719 разработана проектной организацией Барнаульский филиал ОАО «ГИПРОДОРНИИ», утверждена приказом Министерства транспорта и дорожного хозяйства Новосибирской области № 42 от 18.03.2013; прошла государственную экспертизу ФАУ «Главгосэкспертиза России» (г. Москва) (заключение №1123-12/ГГЭ-8290/04 от 30.11.2012 г.), и проверку достоверности определения сметной стоимости строительства (заключение по №1179-12 ГБУ «ГВЭ НСО» (г. Новосибирск).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Основные условия: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4.1. Обеспечить в период с начала заключения Контракта по 02.09.2016 года выполнение комплекса работ в соответствии с ведомостью объёмов работ по проекту, шифр 1/179. Подрядчик имеет право начать выполнение работ по переустройству коммуникаций, возведению земляного полотна, устройству водопропускных труб на автомобильной дороге ПЛП, сооружению опор путепровода ранее установленного «Календарным графиком производства и приемки работ» на 2014 год (Приложение № 1 к Приложению №2) срока. Объемы, технологическая последовательность, сроки выполнения таких работ должны быть определены в организационно-технологической документации (проекте производства работ), согласованной с Заказчиком.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4.2. Осуществлять приемку работ в соответствии с бюджетными ассигнованиями, установленными Законом Новосибирской области «Об областном бюджете Новосибирской области на 2013 год и плановый период 2014 и 2015 годов» от 17.12.2012 г. № 284-ОЗ и нормативным правовыми актами Новосибирской области, с применением индексов удорожания строительно-монтажных работ, утвержденных на соответствующие годы приемки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4.3. Обеспечить контроль качества освидетельствованных работ, выполненных подрядной организацией сверх утвержденных бюджетных ассигнований на соответствующий период.</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4.4. Обеспечить выполнение природоохранных мероприятий и соблюдение требований охраны труда.</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Сроки выполнения работ по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5.1.</w:t>
      </w:r>
      <w:r w:rsidRPr="00C54BB2">
        <w:rPr>
          <w:rFonts w:ascii="Times New Roman" w:hAnsi="Times New Roman" w:cs="Times New Roman"/>
          <w:sz w:val="24"/>
          <w:szCs w:val="24"/>
        </w:rPr>
        <w:tab/>
        <w:t xml:space="preserve">Начало выполнения работ: дата заключения настоящего Контракта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выполнения работ I этапа (</w:t>
      </w:r>
      <w:smartTag w:uri="urn:schemas-microsoft-com:office:smarttags" w:element="metricconverter">
        <w:smartTagPr>
          <w:attr w:name="ProductID" w:val="2014 г"/>
        </w:smartTagPr>
        <w:r w:rsidRPr="00C54BB2">
          <w:rPr>
            <w:rFonts w:ascii="Times New Roman" w:hAnsi="Times New Roman" w:cs="Times New Roman"/>
            <w:sz w:val="24"/>
            <w:szCs w:val="24"/>
          </w:rPr>
          <w:t>2014 г</w:t>
        </w:r>
      </w:smartTag>
      <w:r w:rsidRPr="00C54BB2">
        <w:rPr>
          <w:rFonts w:ascii="Times New Roman" w:hAnsi="Times New Roman" w:cs="Times New Roman"/>
          <w:sz w:val="24"/>
          <w:szCs w:val="24"/>
        </w:rPr>
        <w:t xml:space="preserve">.): 31.12.2014 г.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выполнения работ II этапа (</w:t>
      </w:r>
      <w:smartTag w:uri="urn:schemas-microsoft-com:office:smarttags" w:element="metricconverter">
        <w:smartTagPr>
          <w:attr w:name="ProductID" w:val="2015 г"/>
        </w:smartTagPr>
        <w:r w:rsidRPr="00C54BB2">
          <w:rPr>
            <w:rFonts w:ascii="Times New Roman" w:hAnsi="Times New Roman" w:cs="Times New Roman"/>
            <w:sz w:val="24"/>
            <w:szCs w:val="24"/>
          </w:rPr>
          <w:t>2015 г</w:t>
        </w:r>
      </w:smartTag>
      <w:r w:rsidRPr="00C54BB2">
        <w:rPr>
          <w:rFonts w:ascii="Times New Roman" w:hAnsi="Times New Roman" w:cs="Times New Roman"/>
          <w:sz w:val="24"/>
          <w:szCs w:val="24"/>
        </w:rPr>
        <w:t xml:space="preserve">.): 31.12.2015 г.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выполнения работ III этапа (</w:t>
      </w:r>
      <w:smartTag w:uri="urn:schemas-microsoft-com:office:smarttags" w:element="metricconverter">
        <w:smartTagPr>
          <w:attr w:name="ProductID" w:val="2016 г"/>
        </w:smartTagPr>
        <w:r w:rsidRPr="00C54BB2">
          <w:rPr>
            <w:rFonts w:ascii="Times New Roman" w:hAnsi="Times New Roman" w:cs="Times New Roman"/>
            <w:sz w:val="24"/>
            <w:szCs w:val="24"/>
          </w:rPr>
          <w:t>2016 г</w:t>
        </w:r>
      </w:smartTag>
      <w:r w:rsidRPr="00C54BB2">
        <w:rPr>
          <w:rFonts w:ascii="Times New Roman" w:hAnsi="Times New Roman" w:cs="Times New Roman"/>
          <w:sz w:val="24"/>
          <w:szCs w:val="24"/>
        </w:rPr>
        <w:t xml:space="preserve">.): 02.09.2016 г.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сдачи объекта в эксплуатацию: 07.09.2016 г.</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5.2 Подрядчик имеет право завершить работы в более короткий срок, чем предусмотрено настоящим Контрактом, по письменному согласованию с Заказчиком.</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Стоимость работ:</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6.1. Источник финансирования: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Источником финансирования являются средства областного бюджета Новосибирской области, поступающие Заказчику по подразделу «Дорожное хозяйство (дорожные фонды)», по статье «Долгосрочная целевая программа «Развитие промышленно-логистического парка на территории Новосибирской области на 2011 – 2015 годы» Строительство и реконструкция автомобильных  дорог и дорожных сооружений общего пользования (КБК расходов 176 0409 5225800 411 310).</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6.2. Стоимость выполненных работ определяется на основании утвержденной сметной документации в ценах на I квартал 2011 года с пересчетом сметной стоимости строительства в текущий уровень цен с применением индексов-дефляторов (на 2012 год – 1,07, на 2013 год –1,07, на 2014 год – 1,06, на 2015 год – 1,06, на 2016 год – 1,065), примененных в расчете начальной (максимальной) цены Контракта и с учетом результата торгов (коэффициент снижения – 0,975).</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tbl>
      <w:tblPr>
        <w:tblpPr w:leftFromText="180" w:rightFromText="180" w:vertAnchor="text" w:horzAnchor="margin" w:tblpXSpec="center" w:tblpY="907"/>
        <w:tblW w:w="9540" w:type="dxa"/>
        <w:tblLook w:val="0000"/>
      </w:tblPr>
      <w:tblGrid>
        <w:gridCol w:w="4860"/>
        <w:gridCol w:w="4680"/>
      </w:tblGrid>
      <w:tr w:rsidR="00C54BB2" w:rsidRPr="00C54BB2" w:rsidTr="00A41E41">
        <w:tc>
          <w:tcPr>
            <w:tcW w:w="4860"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Начальник ГКУ НСО ТУАД</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 К.Г. Громенко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 П.</w:t>
            </w:r>
          </w:p>
        </w:tc>
        <w:tc>
          <w:tcPr>
            <w:tcW w:w="4680"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Генеральный директор ОАО «Сибмост»</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___________________ В.А. Кошкин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М.П.</w:t>
            </w:r>
          </w:p>
        </w:tc>
      </w:tr>
    </w:tbl>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sectPr w:rsidR="00C54BB2" w:rsidRPr="00C54BB2">
          <w:footerReference w:type="even" r:id="rId18"/>
          <w:footerReference w:type="default" r:id="rId19"/>
          <w:pgSz w:w="11906" w:h="16838"/>
          <w:pgMar w:top="567" w:right="567" w:bottom="567" w:left="1134" w:header="0" w:footer="0" w:gutter="0"/>
          <w:cols w:space="720"/>
        </w:sectPr>
      </w:pPr>
    </w:p>
    <w:tbl>
      <w:tblPr>
        <w:tblW w:w="15856" w:type="dxa"/>
        <w:tblLayout w:type="fixed"/>
        <w:tblLook w:val="0000"/>
      </w:tblPr>
      <w:tblGrid>
        <w:gridCol w:w="560"/>
        <w:gridCol w:w="244"/>
        <w:gridCol w:w="716"/>
        <w:gridCol w:w="1468"/>
        <w:gridCol w:w="1440"/>
        <w:gridCol w:w="620"/>
        <w:gridCol w:w="1000"/>
        <w:gridCol w:w="416"/>
        <w:gridCol w:w="1024"/>
        <w:gridCol w:w="1329"/>
        <w:gridCol w:w="111"/>
        <w:gridCol w:w="1160"/>
        <w:gridCol w:w="188"/>
        <w:gridCol w:w="1440"/>
        <w:gridCol w:w="1138"/>
        <w:gridCol w:w="122"/>
        <w:gridCol w:w="1260"/>
        <w:gridCol w:w="1620"/>
      </w:tblGrid>
      <w:tr w:rsidR="00C54BB2" w:rsidRPr="00C54BB2" w:rsidTr="00A41E41">
        <w:trPr>
          <w:trHeight w:val="360"/>
        </w:trPr>
        <w:tc>
          <w:tcPr>
            <w:tcW w:w="1520" w:type="dxa"/>
            <w:gridSpan w:val="3"/>
            <w:noWrap/>
            <w:vAlign w:val="bottom"/>
          </w:tcPr>
          <w:p w:rsidR="00C54BB2" w:rsidRPr="00C54BB2" w:rsidRDefault="00C54BB2" w:rsidP="00C54BB2">
            <w:pPr>
              <w:rPr>
                <w:rFonts w:ascii="Times New Roman" w:hAnsi="Times New Roman" w:cs="Times New Roman"/>
                <w:sz w:val="24"/>
                <w:szCs w:val="24"/>
              </w:rPr>
            </w:pPr>
          </w:p>
        </w:tc>
        <w:tc>
          <w:tcPr>
            <w:tcW w:w="3528" w:type="dxa"/>
            <w:gridSpan w:val="3"/>
            <w:noWrap/>
            <w:vAlign w:val="bottom"/>
          </w:tcPr>
          <w:p w:rsidR="00C54BB2" w:rsidRPr="00C54BB2" w:rsidRDefault="00C54BB2" w:rsidP="00C54BB2">
            <w:pPr>
              <w:rPr>
                <w:rFonts w:ascii="Times New Roman" w:hAnsi="Times New Roman" w:cs="Times New Roman"/>
                <w:sz w:val="24"/>
                <w:szCs w:val="24"/>
              </w:rPr>
            </w:pPr>
          </w:p>
        </w:tc>
        <w:tc>
          <w:tcPr>
            <w:tcW w:w="1416" w:type="dxa"/>
            <w:gridSpan w:val="2"/>
            <w:noWrap/>
            <w:vAlign w:val="bottom"/>
          </w:tcPr>
          <w:p w:rsidR="00C54BB2" w:rsidRPr="00C54BB2" w:rsidRDefault="00C54BB2" w:rsidP="00C54BB2">
            <w:pPr>
              <w:rPr>
                <w:rFonts w:ascii="Times New Roman" w:hAnsi="Times New Roman" w:cs="Times New Roman"/>
                <w:sz w:val="24"/>
                <w:szCs w:val="24"/>
              </w:rPr>
            </w:pPr>
          </w:p>
        </w:tc>
        <w:tc>
          <w:tcPr>
            <w:tcW w:w="9392" w:type="dxa"/>
            <w:gridSpan w:val="10"/>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Приложение № 2</w:t>
            </w:r>
          </w:p>
        </w:tc>
      </w:tr>
      <w:tr w:rsidR="00C54BB2" w:rsidRPr="00C54BB2" w:rsidTr="00A41E41">
        <w:trPr>
          <w:trHeight w:val="315"/>
        </w:trPr>
        <w:tc>
          <w:tcPr>
            <w:tcW w:w="560" w:type="dxa"/>
            <w:noWrap/>
            <w:vAlign w:val="bottom"/>
          </w:tcPr>
          <w:p w:rsidR="00C54BB2" w:rsidRPr="00C54BB2" w:rsidRDefault="00C54BB2" w:rsidP="00C54BB2">
            <w:pPr>
              <w:rPr>
                <w:rFonts w:ascii="Times New Roman" w:hAnsi="Times New Roman" w:cs="Times New Roman"/>
                <w:sz w:val="24"/>
                <w:szCs w:val="24"/>
              </w:rPr>
            </w:pPr>
          </w:p>
        </w:tc>
        <w:tc>
          <w:tcPr>
            <w:tcW w:w="960" w:type="dxa"/>
            <w:gridSpan w:val="2"/>
            <w:noWrap/>
            <w:vAlign w:val="bottom"/>
          </w:tcPr>
          <w:p w:rsidR="00C54BB2" w:rsidRPr="00C54BB2" w:rsidRDefault="00C54BB2" w:rsidP="00C54BB2">
            <w:pPr>
              <w:rPr>
                <w:rFonts w:ascii="Times New Roman" w:hAnsi="Times New Roman" w:cs="Times New Roman"/>
                <w:sz w:val="24"/>
                <w:szCs w:val="24"/>
              </w:rPr>
            </w:pPr>
          </w:p>
        </w:tc>
        <w:tc>
          <w:tcPr>
            <w:tcW w:w="3528" w:type="dxa"/>
            <w:gridSpan w:val="3"/>
            <w:noWrap/>
            <w:vAlign w:val="bottom"/>
          </w:tcPr>
          <w:p w:rsidR="00C54BB2" w:rsidRPr="00C54BB2" w:rsidRDefault="00C54BB2" w:rsidP="00C54BB2">
            <w:pPr>
              <w:rPr>
                <w:rFonts w:ascii="Times New Roman" w:hAnsi="Times New Roman" w:cs="Times New Roman"/>
                <w:sz w:val="24"/>
                <w:szCs w:val="24"/>
              </w:rPr>
            </w:pPr>
          </w:p>
        </w:tc>
        <w:tc>
          <w:tcPr>
            <w:tcW w:w="1416" w:type="dxa"/>
            <w:gridSpan w:val="2"/>
            <w:noWrap/>
            <w:vAlign w:val="bottom"/>
          </w:tcPr>
          <w:p w:rsidR="00C54BB2" w:rsidRPr="00C54BB2" w:rsidRDefault="00C54BB2" w:rsidP="00C54BB2">
            <w:pPr>
              <w:rPr>
                <w:rFonts w:ascii="Times New Roman" w:hAnsi="Times New Roman" w:cs="Times New Roman"/>
                <w:sz w:val="24"/>
                <w:szCs w:val="24"/>
              </w:rPr>
            </w:pPr>
          </w:p>
        </w:tc>
        <w:tc>
          <w:tcPr>
            <w:tcW w:w="9392" w:type="dxa"/>
            <w:gridSpan w:val="10"/>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 Государственному контракту</w:t>
            </w:r>
          </w:p>
        </w:tc>
      </w:tr>
      <w:tr w:rsidR="00C54BB2" w:rsidRPr="00C54BB2" w:rsidTr="00A41E41">
        <w:trPr>
          <w:trHeight w:val="315"/>
        </w:trPr>
        <w:tc>
          <w:tcPr>
            <w:tcW w:w="560" w:type="dxa"/>
            <w:noWrap/>
            <w:vAlign w:val="bottom"/>
          </w:tcPr>
          <w:p w:rsidR="00C54BB2" w:rsidRPr="00C54BB2" w:rsidRDefault="00C54BB2" w:rsidP="00C54BB2">
            <w:pPr>
              <w:rPr>
                <w:rFonts w:ascii="Times New Roman" w:hAnsi="Times New Roman" w:cs="Times New Roman"/>
                <w:sz w:val="24"/>
                <w:szCs w:val="24"/>
              </w:rPr>
            </w:pPr>
          </w:p>
        </w:tc>
        <w:tc>
          <w:tcPr>
            <w:tcW w:w="960" w:type="dxa"/>
            <w:gridSpan w:val="2"/>
            <w:noWrap/>
            <w:vAlign w:val="bottom"/>
          </w:tcPr>
          <w:p w:rsidR="00C54BB2" w:rsidRPr="00C54BB2" w:rsidRDefault="00C54BB2" w:rsidP="00C54BB2">
            <w:pPr>
              <w:rPr>
                <w:rFonts w:ascii="Times New Roman" w:hAnsi="Times New Roman" w:cs="Times New Roman"/>
                <w:sz w:val="24"/>
                <w:szCs w:val="24"/>
              </w:rPr>
            </w:pPr>
          </w:p>
        </w:tc>
        <w:tc>
          <w:tcPr>
            <w:tcW w:w="3528" w:type="dxa"/>
            <w:gridSpan w:val="3"/>
            <w:noWrap/>
            <w:vAlign w:val="bottom"/>
          </w:tcPr>
          <w:p w:rsidR="00C54BB2" w:rsidRPr="00C54BB2" w:rsidRDefault="00C54BB2" w:rsidP="00C54BB2">
            <w:pPr>
              <w:rPr>
                <w:rFonts w:ascii="Times New Roman" w:hAnsi="Times New Roman" w:cs="Times New Roman"/>
                <w:sz w:val="24"/>
                <w:szCs w:val="24"/>
              </w:rPr>
            </w:pPr>
          </w:p>
        </w:tc>
        <w:tc>
          <w:tcPr>
            <w:tcW w:w="1416" w:type="dxa"/>
            <w:gridSpan w:val="2"/>
            <w:noWrap/>
            <w:vAlign w:val="bottom"/>
          </w:tcPr>
          <w:p w:rsidR="00C54BB2" w:rsidRPr="00C54BB2" w:rsidRDefault="00C54BB2" w:rsidP="00C54BB2">
            <w:pPr>
              <w:rPr>
                <w:rFonts w:ascii="Times New Roman" w:hAnsi="Times New Roman" w:cs="Times New Roman"/>
                <w:sz w:val="24"/>
                <w:szCs w:val="24"/>
              </w:rPr>
            </w:pPr>
          </w:p>
        </w:tc>
        <w:tc>
          <w:tcPr>
            <w:tcW w:w="9392" w:type="dxa"/>
            <w:gridSpan w:val="10"/>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2013.107096 от 09.07.2013г.</w:t>
            </w:r>
          </w:p>
          <w:p w:rsidR="00C54BB2" w:rsidRPr="00C54BB2" w:rsidRDefault="00C54BB2" w:rsidP="00C54BB2">
            <w:pPr>
              <w:rPr>
                <w:rFonts w:ascii="Times New Roman" w:hAnsi="Times New Roman" w:cs="Times New Roman"/>
                <w:sz w:val="24"/>
                <w:szCs w:val="24"/>
              </w:rPr>
            </w:pPr>
          </w:p>
        </w:tc>
      </w:tr>
      <w:tr w:rsidR="00C54BB2" w:rsidRPr="00C54BB2" w:rsidTr="00A41E41">
        <w:trPr>
          <w:trHeight w:val="375"/>
        </w:trPr>
        <w:tc>
          <w:tcPr>
            <w:tcW w:w="15856" w:type="dxa"/>
            <w:gridSpan w:val="18"/>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График выполнения работ по этапам</w:t>
            </w:r>
          </w:p>
        </w:tc>
      </w:tr>
      <w:tr w:rsidR="00C54BB2" w:rsidRPr="00C54BB2" w:rsidTr="00A41E41">
        <w:trPr>
          <w:trHeight w:val="375"/>
        </w:trPr>
        <w:tc>
          <w:tcPr>
            <w:tcW w:w="15856" w:type="dxa"/>
            <w:gridSpan w:val="18"/>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 строительству автомобильной дороги «1432 км а/д «М-51» – Промышленно-логистический парк»</w:t>
            </w:r>
          </w:p>
        </w:tc>
      </w:tr>
      <w:tr w:rsidR="00C54BB2" w:rsidRPr="00C54BB2" w:rsidTr="00A41E41">
        <w:trPr>
          <w:trHeight w:val="375"/>
        </w:trPr>
        <w:tc>
          <w:tcPr>
            <w:tcW w:w="15856" w:type="dxa"/>
            <w:gridSpan w:val="18"/>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протяженностью </w:t>
            </w:r>
            <w:smartTag w:uri="urn:schemas-microsoft-com:office:smarttags" w:element="metricconverter">
              <w:smartTagPr>
                <w:attr w:name="ProductID" w:val="3,809 км"/>
              </w:smartTagPr>
              <w:r w:rsidRPr="00C54BB2">
                <w:rPr>
                  <w:rFonts w:ascii="Times New Roman" w:hAnsi="Times New Roman" w:cs="Times New Roman"/>
                  <w:sz w:val="24"/>
                  <w:szCs w:val="24"/>
                </w:rPr>
                <w:t>3,809 км</w:t>
              </w:r>
            </w:smartTag>
            <w:r w:rsidRPr="00C54BB2">
              <w:rPr>
                <w:rFonts w:ascii="Times New Roman" w:hAnsi="Times New Roman" w:cs="Times New Roman"/>
                <w:sz w:val="24"/>
                <w:szCs w:val="24"/>
              </w:rPr>
              <w:t xml:space="preserve">, выполняемый в 2014 - 2016 годах </w:t>
            </w:r>
          </w:p>
        </w:tc>
      </w:tr>
      <w:tr w:rsidR="00C54BB2" w:rsidRPr="00C54BB2" w:rsidTr="00A41E41">
        <w:trPr>
          <w:trHeight w:val="300"/>
        </w:trPr>
        <w:tc>
          <w:tcPr>
            <w:tcW w:w="560" w:type="dxa"/>
            <w:vMerge w:val="restart"/>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п/п</w:t>
            </w:r>
          </w:p>
        </w:tc>
        <w:tc>
          <w:tcPr>
            <w:tcW w:w="2428" w:type="dxa"/>
            <w:gridSpan w:val="3"/>
            <w:vMerge w:val="restart"/>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Наименование объекта, участка</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Бюджетные ассигнования</w:t>
            </w:r>
          </w:p>
        </w:tc>
        <w:tc>
          <w:tcPr>
            <w:tcW w:w="1620" w:type="dxa"/>
            <w:gridSpan w:val="2"/>
            <w:vMerge w:val="restart"/>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Всего по Контракту, руб.</w:t>
            </w:r>
          </w:p>
        </w:tc>
        <w:tc>
          <w:tcPr>
            <w:tcW w:w="9808" w:type="dxa"/>
            <w:gridSpan w:val="11"/>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том числе по этапам, руб.</w:t>
            </w:r>
          </w:p>
        </w:tc>
      </w:tr>
      <w:tr w:rsidR="00C54BB2" w:rsidRPr="00C54BB2" w:rsidTr="00A41E41">
        <w:trPr>
          <w:trHeight w:val="300"/>
        </w:trPr>
        <w:tc>
          <w:tcPr>
            <w:tcW w:w="560" w:type="dxa"/>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2428" w:type="dxa"/>
            <w:gridSpan w:val="3"/>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1440" w:type="dxa"/>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2880" w:type="dxa"/>
            <w:gridSpan w:val="4"/>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I этап (</w:t>
            </w:r>
            <w:smartTag w:uri="urn:schemas-microsoft-com:office:smarttags" w:element="metricconverter">
              <w:smartTagPr>
                <w:attr w:name="ProductID" w:val="2014 г"/>
              </w:smartTagPr>
              <w:r w:rsidRPr="00C54BB2">
                <w:rPr>
                  <w:rFonts w:ascii="Times New Roman" w:hAnsi="Times New Roman" w:cs="Times New Roman"/>
                  <w:sz w:val="24"/>
                  <w:szCs w:val="24"/>
                </w:rPr>
                <w:t>2014 г</w:t>
              </w:r>
            </w:smartTag>
            <w:r w:rsidRPr="00C54BB2">
              <w:rPr>
                <w:rFonts w:ascii="Times New Roman" w:hAnsi="Times New Roman" w:cs="Times New Roman"/>
                <w:sz w:val="24"/>
                <w:szCs w:val="24"/>
              </w:rPr>
              <w:t>.)</w:t>
            </w:r>
          </w:p>
        </w:tc>
        <w:tc>
          <w:tcPr>
            <w:tcW w:w="2788" w:type="dxa"/>
            <w:gridSpan w:val="3"/>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II этап (</w:t>
            </w:r>
            <w:smartTag w:uri="urn:schemas-microsoft-com:office:smarttags" w:element="metricconverter">
              <w:smartTagPr>
                <w:attr w:name="ProductID" w:val="2015 г"/>
              </w:smartTagPr>
              <w:r w:rsidRPr="00C54BB2">
                <w:rPr>
                  <w:rFonts w:ascii="Times New Roman" w:hAnsi="Times New Roman" w:cs="Times New Roman"/>
                  <w:sz w:val="24"/>
                  <w:szCs w:val="24"/>
                </w:rPr>
                <w:t>2015 г</w:t>
              </w:r>
            </w:smartTag>
            <w:r w:rsidRPr="00C54BB2">
              <w:rPr>
                <w:rFonts w:ascii="Times New Roman" w:hAnsi="Times New Roman" w:cs="Times New Roman"/>
                <w:sz w:val="24"/>
                <w:szCs w:val="24"/>
              </w:rPr>
              <w:t>.)</w:t>
            </w:r>
          </w:p>
        </w:tc>
        <w:tc>
          <w:tcPr>
            <w:tcW w:w="4140" w:type="dxa"/>
            <w:gridSpan w:val="4"/>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III этап (</w:t>
            </w:r>
            <w:smartTag w:uri="urn:schemas-microsoft-com:office:smarttags" w:element="metricconverter">
              <w:smartTagPr>
                <w:attr w:name="ProductID" w:val="2016 г"/>
              </w:smartTagPr>
              <w:r w:rsidRPr="00C54BB2">
                <w:rPr>
                  <w:rFonts w:ascii="Times New Roman" w:hAnsi="Times New Roman" w:cs="Times New Roman"/>
                  <w:sz w:val="24"/>
                  <w:szCs w:val="24"/>
                </w:rPr>
                <w:t>2016 г</w:t>
              </w:r>
            </w:smartTag>
            <w:r w:rsidRPr="00C54BB2">
              <w:rPr>
                <w:rFonts w:ascii="Times New Roman" w:hAnsi="Times New Roman" w:cs="Times New Roman"/>
                <w:sz w:val="24"/>
                <w:szCs w:val="24"/>
              </w:rPr>
              <w:t>.)</w:t>
            </w:r>
          </w:p>
        </w:tc>
      </w:tr>
      <w:tr w:rsidR="00C54BB2" w:rsidRPr="00C54BB2" w:rsidTr="00A41E41">
        <w:trPr>
          <w:trHeight w:val="760"/>
        </w:trPr>
        <w:tc>
          <w:tcPr>
            <w:tcW w:w="560" w:type="dxa"/>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2428" w:type="dxa"/>
            <w:gridSpan w:val="3"/>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1440" w:type="dxa"/>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1440" w:type="dxa"/>
            <w:gridSpan w:val="2"/>
            <w:tcBorders>
              <w:top w:val="nil"/>
              <w:left w:val="nil"/>
              <w:bottom w:val="single" w:sz="4" w:space="0" w:color="auto"/>
              <w:right w:val="single" w:sz="4" w:space="0" w:color="auto"/>
            </w:tcBorders>
            <w:noWrap/>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начала этапа</w:t>
            </w:r>
          </w:p>
        </w:tc>
        <w:tc>
          <w:tcPr>
            <w:tcW w:w="1440" w:type="dxa"/>
            <w:gridSpan w:val="2"/>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этапа</w:t>
            </w:r>
          </w:p>
        </w:tc>
        <w:tc>
          <w:tcPr>
            <w:tcW w:w="1348" w:type="dxa"/>
            <w:gridSpan w:val="2"/>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начала этапа</w:t>
            </w:r>
          </w:p>
        </w:tc>
        <w:tc>
          <w:tcPr>
            <w:tcW w:w="1440" w:type="dxa"/>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этапа</w:t>
            </w:r>
          </w:p>
        </w:tc>
        <w:tc>
          <w:tcPr>
            <w:tcW w:w="1260" w:type="dxa"/>
            <w:gridSpan w:val="2"/>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начала этапа</w:t>
            </w:r>
          </w:p>
        </w:tc>
        <w:tc>
          <w:tcPr>
            <w:tcW w:w="1260" w:type="dxa"/>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этапа</w:t>
            </w:r>
          </w:p>
        </w:tc>
        <w:tc>
          <w:tcPr>
            <w:tcW w:w="1620" w:type="dxa"/>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сдачи Объекта в эксплуатацию</w:t>
            </w:r>
          </w:p>
        </w:tc>
      </w:tr>
      <w:tr w:rsidR="00C54BB2" w:rsidRPr="00C54BB2" w:rsidTr="00A41E41">
        <w:trPr>
          <w:trHeight w:val="880"/>
        </w:trPr>
        <w:tc>
          <w:tcPr>
            <w:tcW w:w="560" w:type="dxa"/>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2428" w:type="dxa"/>
            <w:gridSpan w:val="3"/>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1440" w:type="dxa"/>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1620" w:type="dxa"/>
            <w:gridSpan w:val="2"/>
            <w:vMerge/>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1440" w:type="dxa"/>
            <w:gridSpan w:val="2"/>
            <w:tcBorders>
              <w:top w:val="single" w:sz="4" w:space="0" w:color="auto"/>
              <w:left w:val="nil"/>
              <w:bottom w:val="single" w:sz="4" w:space="0" w:color="auto"/>
              <w:right w:val="single" w:sz="4" w:space="0" w:color="auto"/>
            </w:tcBorders>
            <w:noWrap/>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01.01.2014г.</w:t>
            </w:r>
          </w:p>
        </w:tc>
        <w:tc>
          <w:tcPr>
            <w:tcW w:w="1440" w:type="dxa"/>
            <w:gridSpan w:val="2"/>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31.12.2014г.</w:t>
            </w:r>
          </w:p>
        </w:tc>
        <w:tc>
          <w:tcPr>
            <w:tcW w:w="1348" w:type="dxa"/>
            <w:gridSpan w:val="2"/>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01.01.2015г.</w:t>
            </w:r>
          </w:p>
        </w:tc>
        <w:tc>
          <w:tcPr>
            <w:tcW w:w="1440" w:type="dxa"/>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31.12.2015г.</w:t>
            </w:r>
          </w:p>
        </w:tc>
        <w:tc>
          <w:tcPr>
            <w:tcW w:w="1260" w:type="dxa"/>
            <w:gridSpan w:val="2"/>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01.01.2016г.</w:t>
            </w:r>
          </w:p>
        </w:tc>
        <w:tc>
          <w:tcPr>
            <w:tcW w:w="1260" w:type="dxa"/>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02.09.2016г.</w:t>
            </w:r>
          </w:p>
        </w:tc>
        <w:tc>
          <w:tcPr>
            <w:tcW w:w="1620" w:type="dxa"/>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07.09.2016г.</w:t>
            </w:r>
          </w:p>
        </w:tc>
      </w:tr>
      <w:tr w:rsidR="00C54BB2" w:rsidRPr="00C54BB2" w:rsidTr="00A41E41">
        <w:trPr>
          <w:trHeight w:val="231"/>
        </w:trPr>
        <w:tc>
          <w:tcPr>
            <w:tcW w:w="560" w:type="dxa"/>
            <w:tcBorders>
              <w:top w:val="nil"/>
              <w:left w:val="single" w:sz="4" w:space="0" w:color="auto"/>
              <w:bottom w:val="single" w:sz="4" w:space="0" w:color="auto"/>
              <w:right w:val="single" w:sz="4" w:space="0" w:color="auto"/>
            </w:tcBorders>
            <w:noWrap/>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w:t>
            </w:r>
          </w:p>
        </w:tc>
        <w:tc>
          <w:tcPr>
            <w:tcW w:w="2428" w:type="dxa"/>
            <w:gridSpan w:val="3"/>
            <w:tcBorders>
              <w:top w:val="single" w:sz="4" w:space="0" w:color="auto"/>
              <w:left w:val="nil"/>
              <w:bottom w:val="single" w:sz="4" w:space="0" w:color="auto"/>
              <w:right w:val="single" w:sz="4" w:space="0" w:color="auto"/>
            </w:tcBorders>
            <w:noWrap/>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w:t>
            </w:r>
          </w:p>
        </w:tc>
        <w:tc>
          <w:tcPr>
            <w:tcW w:w="1440" w:type="dxa"/>
            <w:tcBorders>
              <w:top w:val="nil"/>
              <w:left w:val="nil"/>
              <w:bottom w:val="single" w:sz="4" w:space="0" w:color="auto"/>
              <w:right w:val="single" w:sz="4" w:space="0" w:color="auto"/>
            </w:tcBorders>
            <w:shd w:val="clear" w:color="auto" w:fill="FFFFFF"/>
            <w:noWrap/>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w:t>
            </w:r>
          </w:p>
        </w:tc>
        <w:tc>
          <w:tcPr>
            <w:tcW w:w="1620" w:type="dxa"/>
            <w:gridSpan w:val="2"/>
            <w:tcBorders>
              <w:top w:val="nil"/>
              <w:left w:val="nil"/>
              <w:bottom w:val="single" w:sz="4" w:space="0" w:color="auto"/>
              <w:right w:val="single" w:sz="4" w:space="0" w:color="auto"/>
            </w:tcBorders>
            <w:shd w:val="clear" w:color="auto" w:fill="FFFFFF"/>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w:t>
            </w:r>
          </w:p>
        </w:tc>
        <w:tc>
          <w:tcPr>
            <w:tcW w:w="1440" w:type="dxa"/>
            <w:gridSpan w:val="2"/>
            <w:tcBorders>
              <w:top w:val="nil"/>
              <w:left w:val="nil"/>
              <w:bottom w:val="single" w:sz="4" w:space="0" w:color="auto"/>
              <w:right w:val="single" w:sz="4" w:space="0" w:color="auto"/>
            </w:tcBorders>
            <w:noWrap/>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w:t>
            </w:r>
          </w:p>
        </w:tc>
        <w:tc>
          <w:tcPr>
            <w:tcW w:w="1440" w:type="dxa"/>
            <w:gridSpan w:val="2"/>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w:t>
            </w:r>
          </w:p>
        </w:tc>
        <w:tc>
          <w:tcPr>
            <w:tcW w:w="1348" w:type="dxa"/>
            <w:gridSpan w:val="2"/>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w:t>
            </w:r>
          </w:p>
        </w:tc>
        <w:tc>
          <w:tcPr>
            <w:tcW w:w="1440" w:type="dxa"/>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w:t>
            </w:r>
          </w:p>
        </w:tc>
        <w:tc>
          <w:tcPr>
            <w:tcW w:w="1260" w:type="dxa"/>
            <w:gridSpan w:val="2"/>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w:t>
            </w:r>
          </w:p>
        </w:tc>
        <w:tc>
          <w:tcPr>
            <w:tcW w:w="1260" w:type="dxa"/>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w:t>
            </w:r>
          </w:p>
        </w:tc>
        <w:tc>
          <w:tcPr>
            <w:tcW w:w="1620" w:type="dxa"/>
            <w:tcBorders>
              <w:top w:val="nil"/>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11</w:t>
            </w:r>
          </w:p>
        </w:tc>
      </w:tr>
      <w:tr w:rsidR="00C54BB2" w:rsidRPr="00C54BB2" w:rsidTr="00A41E41">
        <w:trPr>
          <w:trHeight w:val="510"/>
        </w:trPr>
        <w:tc>
          <w:tcPr>
            <w:tcW w:w="560" w:type="dxa"/>
            <w:vMerge w:val="restart"/>
            <w:tcBorders>
              <w:top w:val="single" w:sz="4" w:space="0" w:color="auto"/>
              <w:left w:val="single" w:sz="4" w:space="0" w:color="auto"/>
              <w:right w:val="single" w:sz="4" w:space="0" w:color="auto"/>
            </w:tcBorders>
            <w:noWrap/>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w:t>
            </w:r>
          </w:p>
        </w:tc>
        <w:tc>
          <w:tcPr>
            <w:tcW w:w="2428" w:type="dxa"/>
            <w:gridSpan w:val="3"/>
            <w:tcBorders>
              <w:top w:val="single" w:sz="4" w:space="0" w:color="auto"/>
              <w:left w:val="nil"/>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Строительство автомобильной дороги «1432 км а/д </w:t>
            </w:r>
            <w:r w:rsidRPr="00C54BB2">
              <w:rPr>
                <w:rFonts w:ascii="Times New Roman" w:hAnsi="Times New Roman" w:cs="Times New Roman"/>
                <w:sz w:val="24"/>
                <w:szCs w:val="24"/>
              </w:rPr>
              <w:lastRenderedPageBreak/>
              <w:t>«М-51» – Промышленно-логистический парк»</w:t>
            </w:r>
          </w:p>
        </w:tc>
        <w:tc>
          <w:tcPr>
            <w:tcW w:w="1440" w:type="dxa"/>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 xml:space="preserve">за счет средств областного </w:t>
            </w:r>
            <w:r w:rsidRPr="00C54BB2">
              <w:rPr>
                <w:rFonts w:ascii="Times New Roman" w:hAnsi="Times New Roman" w:cs="Times New Roman"/>
                <w:sz w:val="24"/>
                <w:szCs w:val="24"/>
              </w:rPr>
              <w:lastRenderedPageBreak/>
              <w:t>бюджета</w:t>
            </w:r>
          </w:p>
        </w:tc>
        <w:tc>
          <w:tcPr>
            <w:tcW w:w="1620" w:type="dxa"/>
            <w:gridSpan w:val="2"/>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1 445 781 285</w:t>
            </w:r>
          </w:p>
        </w:tc>
        <w:tc>
          <w:tcPr>
            <w:tcW w:w="2880" w:type="dxa"/>
            <w:gridSpan w:val="4"/>
            <w:tcBorders>
              <w:top w:val="single" w:sz="4" w:space="0" w:color="auto"/>
              <w:left w:val="nil"/>
              <w:bottom w:val="single" w:sz="4" w:space="0" w:color="auto"/>
              <w:right w:val="single" w:sz="4" w:space="0" w:color="auto"/>
            </w:tcBorders>
            <w:noWrap/>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249 600 000</w:t>
            </w:r>
          </w:p>
        </w:tc>
        <w:tc>
          <w:tcPr>
            <w:tcW w:w="2788" w:type="dxa"/>
            <w:gridSpan w:val="3"/>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721 500 000</w:t>
            </w:r>
          </w:p>
        </w:tc>
        <w:tc>
          <w:tcPr>
            <w:tcW w:w="4140" w:type="dxa"/>
            <w:gridSpan w:val="4"/>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474 681 285</w:t>
            </w:r>
          </w:p>
        </w:tc>
      </w:tr>
      <w:tr w:rsidR="00C54BB2" w:rsidRPr="00C54BB2" w:rsidTr="00A41E41">
        <w:trPr>
          <w:trHeight w:val="345"/>
        </w:trPr>
        <w:tc>
          <w:tcPr>
            <w:tcW w:w="560" w:type="dxa"/>
            <w:vMerge/>
            <w:tcBorders>
              <w:left w:val="single" w:sz="4" w:space="0" w:color="auto"/>
              <w:bottom w:val="single" w:sz="4" w:space="0" w:color="auto"/>
              <w:right w:val="single" w:sz="4" w:space="0" w:color="auto"/>
            </w:tcBorders>
            <w:noWrap/>
            <w:vAlign w:val="center"/>
          </w:tcPr>
          <w:p w:rsidR="00C54BB2" w:rsidRPr="00C54BB2" w:rsidRDefault="00C54BB2" w:rsidP="00C54BB2">
            <w:pPr>
              <w:rPr>
                <w:rFonts w:ascii="Times New Roman" w:hAnsi="Times New Roman" w:cs="Times New Roman"/>
                <w:sz w:val="24"/>
                <w:szCs w:val="24"/>
              </w:rPr>
            </w:pPr>
          </w:p>
        </w:tc>
        <w:tc>
          <w:tcPr>
            <w:tcW w:w="2428" w:type="dxa"/>
            <w:gridSpan w:val="3"/>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Всего:</w:t>
            </w:r>
          </w:p>
        </w:tc>
        <w:tc>
          <w:tcPr>
            <w:tcW w:w="1440" w:type="dxa"/>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1620" w:type="dxa"/>
            <w:gridSpan w:val="2"/>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p>
        </w:tc>
        <w:tc>
          <w:tcPr>
            <w:tcW w:w="2880" w:type="dxa"/>
            <w:gridSpan w:val="4"/>
            <w:tcBorders>
              <w:top w:val="single" w:sz="4" w:space="0" w:color="auto"/>
              <w:left w:val="nil"/>
              <w:bottom w:val="single" w:sz="4" w:space="0" w:color="auto"/>
              <w:right w:val="single" w:sz="4" w:space="0" w:color="auto"/>
            </w:tcBorders>
            <w:noWrap/>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249 600 000</w:t>
            </w:r>
          </w:p>
        </w:tc>
        <w:tc>
          <w:tcPr>
            <w:tcW w:w="2788" w:type="dxa"/>
            <w:gridSpan w:val="3"/>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721 500 000</w:t>
            </w:r>
          </w:p>
        </w:tc>
        <w:tc>
          <w:tcPr>
            <w:tcW w:w="4140" w:type="dxa"/>
            <w:gridSpan w:val="4"/>
            <w:tcBorders>
              <w:top w:val="single" w:sz="4" w:space="0" w:color="auto"/>
              <w:left w:val="nil"/>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474 681 285</w:t>
            </w:r>
          </w:p>
        </w:tc>
      </w:tr>
      <w:tr w:rsidR="00C54BB2" w:rsidRPr="00C54BB2" w:rsidTr="00A41E41">
        <w:trPr>
          <w:trHeight w:val="574"/>
        </w:trPr>
        <w:tc>
          <w:tcPr>
            <w:tcW w:w="10088" w:type="dxa"/>
            <w:gridSpan w:val="12"/>
            <w:vAlign w:val="center"/>
          </w:tcPr>
          <w:p w:rsidR="00C54BB2" w:rsidRPr="00C54BB2" w:rsidRDefault="00C54BB2" w:rsidP="00C54BB2">
            <w:pPr>
              <w:rPr>
                <w:rFonts w:ascii="Times New Roman" w:hAnsi="Times New Roman" w:cs="Times New Roman"/>
                <w:sz w:val="24"/>
                <w:szCs w:val="24"/>
              </w:rPr>
            </w:pPr>
          </w:p>
        </w:tc>
        <w:tc>
          <w:tcPr>
            <w:tcW w:w="5768" w:type="dxa"/>
            <w:gridSpan w:val="6"/>
            <w:vAlign w:val="center"/>
          </w:tcPr>
          <w:p w:rsidR="00C54BB2" w:rsidRPr="00C54BB2" w:rsidRDefault="00C54BB2" w:rsidP="00C54BB2">
            <w:pPr>
              <w:rPr>
                <w:rFonts w:ascii="Times New Roman" w:hAnsi="Times New Roman" w:cs="Times New Roman"/>
                <w:sz w:val="24"/>
                <w:szCs w:val="24"/>
              </w:rPr>
            </w:pPr>
          </w:p>
        </w:tc>
      </w:tr>
      <w:tr w:rsidR="00C54BB2" w:rsidRPr="00C54BB2" w:rsidTr="00A41E41">
        <w:tblPrEx>
          <w:jc w:val="center"/>
        </w:tblPrEx>
        <w:trPr>
          <w:gridBefore w:val="2"/>
          <w:gridAfter w:val="3"/>
          <w:wBefore w:w="804" w:type="dxa"/>
          <w:wAfter w:w="3002" w:type="dxa"/>
          <w:jc w:val="center"/>
        </w:trPr>
        <w:tc>
          <w:tcPr>
            <w:tcW w:w="8013" w:type="dxa"/>
            <w:gridSpan w:val="8"/>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Начальник ГКУ НСО ТУАД</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 К.Г. Громенко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 П.</w:t>
            </w:r>
          </w:p>
        </w:tc>
        <w:tc>
          <w:tcPr>
            <w:tcW w:w="4037" w:type="dxa"/>
            <w:gridSpan w:val="5"/>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Генеральный директор ОАО «Сибмост»</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___________________ В.А. Кошкин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М.П.</w:t>
            </w:r>
          </w:p>
        </w:tc>
      </w:tr>
    </w:tbl>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sectPr w:rsidR="00C54BB2" w:rsidRPr="00C54BB2" w:rsidSect="009A105C">
          <w:pgSz w:w="16838" w:h="11906" w:orient="landscape" w:code="9"/>
          <w:pgMar w:top="1134" w:right="567" w:bottom="567" w:left="567" w:header="0" w:footer="510" w:gutter="0"/>
          <w:cols w:space="720"/>
        </w:sect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Приложение № 1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К Государственному контракту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2013.107096 от 09.07.2013г.</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tbl>
      <w:tblPr>
        <w:tblW w:w="15916" w:type="dxa"/>
        <w:jc w:val="center"/>
        <w:tblLayout w:type="fixed"/>
        <w:tblLook w:val="0000"/>
      </w:tblPr>
      <w:tblGrid>
        <w:gridCol w:w="88"/>
        <w:gridCol w:w="487"/>
        <w:gridCol w:w="2175"/>
        <w:gridCol w:w="1531"/>
        <w:gridCol w:w="982"/>
        <w:gridCol w:w="960"/>
        <w:gridCol w:w="929"/>
        <w:gridCol w:w="1026"/>
        <w:gridCol w:w="956"/>
        <w:gridCol w:w="1080"/>
        <w:gridCol w:w="1008"/>
        <w:gridCol w:w="964"/>
        <w:gridCol w:w="893"/>
        <w:gridCol w:w="2535"/>
        <w:gridCol w:w="302"/>
      </w:tblGrid>
      <w:tr w:rsidR="00C54BB2" w:rsidRPr="00C54BB2" w:rsidTr="00A41E41">
        <w:trPr>
          <w:gridBefore w:val="1"/>
          <w:wBefore w:w="88" w:type="dxa"/>
          <w:trHeight w:val="332"/>
          <w:jc w:val="center"/>
        </w:trPr>
        <w:tc>
          <w:tcPr>
            <w:tcW w:w="15828" w:type="dxa"/>
            <w:gridSpan w:val="14"/>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Календарный график производства и приемки работ </w:t>
            </w:r>
          </w:p>
        </w:tc>
      </w:tr>
      <w:tr w:rsidR="00C54BB2" w:rsidRPr="00C54BB2" w:rsidTr="00A41E41">
        <w:trPr>
          <w:gridBefore w:val="1"/>
          <w:wBefore w:w="88" w:type="dxa"/>
          <w:trHeight w:val="189"/>
          <w:jc w:val="center"/>
        </w:trPr>
        <w:tc>
          <w:tcPr>
            <w:tcW w:w="15828" w:type="dxa"/>
            <w:gridSpan w:val="14"/>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 строительству автомобильной дороги «1432 км а/д «М-51» – Промышленно-логистический парк»</w:t>
            </w:r>
          </w:p>
        </w:tc>
      </w:tr>
      <w:tr w:rsidR="00C54BB2" w:rsidRPr="00C54BB2" w:rsidTr="00A41E41">
        <w:trPr>
          <w:gridBefore w:val="1"/>
          <w:wBefore w:w="88" w:type="dxa"/>
          <w:trHeight w:val="256"/>
          <w:jc w:val="center"/>
        </w:trPr>
        <w:tc>
          <w:tcPr>
            <w:tcW w:w="15828" w:type="dxa"/>
            <w:gridSpan w:val="14"/>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протяженностью </w:t>
            </w:r>
            <w:smartTag w:uri="urn:schemas-microsoft-com:office:smarttags" w:element="metricconverter">
              <w:smartTagPr>
                <w:attr w:name="ProductID" w:val="3,809 км"/>
              </w:smartTagPr>
              <w:r w:rsidRPr="00C54BB2">
                <w:rPr>
                  <w:rFonts w:ascii="Times New Roman" w:hAnsi="Times New Roman" w:cs="Times New Roman"/>
                  <w:sz w:val="24"/>
                  <w:szCs w:val="24"/>
                </w:rPr>
                <w:t>3,809 км</w:t>
              </w:r>
            </w:smartTag>
            <w:r w:rsidRPr="00C54BB2">
              <w:rPr>
                <w:rFonts w:ascii="Times New Roman" w:hAnsi="Times New Roman" w:cs="Times New Roman"/>
                <w:sz w:val="24"/>
                <w:szCs w:val="24"/>
              </w:rPr>
              <w:t>, выполняемый в 2014 году</w:t>
            </w:r>
          </w:p>
        </w:tc>
      </w:tr>
      <w:tr w:rsidR="00C54BB2" w:rsidRPr="00C54BB2" w:rsidTr="00A41E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302" w:type="dxa"/>
          <w:trHeight w:val="281"/>
          <w:jc w:val="center"/>
        </w:trPr>
        <w:tc>
          <w:tcPr>
            <w:tcW w:w="5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п/п</w:t>
            </w:r>
          </w:p>
        </w:tc>
        <w:tc>
          <w:tcPr>
            <w:tcW w:w="21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Наименование работ</w:t>
            </w:r>
          </w:p>
        </w:tc>
        <w:tc>
          <w:tcPr>
            <w:tcW w:w="153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Всего по Контракту в 2014 году, руб.</w:t>
            </w:r>
          </w:p>
        </w:tc>
        <w:tc>
          <w:tcPr>
            <w:tcW w:w="11333"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том числе по отчетным периодам</w:t>
            </w:r>
          </w:p>
        </w:tc>
      </w:tr>
      <w:tr w:rsidR="00C54BB2" w:rsidRPr="00C54BB2" w:rsidTr="00A41E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302" w:type="dxa"/>
          <w:cantSplit/>
          <w:trHeight w:val="1781"/>
          <w:jc w:val="center"/>
        </w:trPr>
        <w:tc>
          <w:tcPr>
            <w:tcW w:w="5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p>
        </w:tc>
        <w:tc>
          <w:tcPr>
            <w:tcW w:w="2175"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p>
        </w:tc>
        <w:tc>
          <w:tcPr>
            <w:tcW w:w="1531"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p>
        </w:tc>
        <w:tc>
          <w:tcPr>
            <w:tcW w:w="982" w:type="dxa"/>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01.01.2014г. по 25 03.2014г.</w:t>
            </w:r>
          </w:p>
        </w:tc>
        <w:tc>
          <w:tcPr>
            <w:tcW w:w="960" w:type="dxa"/>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26.03.2014г. по 25.04.2014г.</w:t>
            </w:r>
          </w:p>
        </w:tc>
        <w:tc>
          <w:tcPr>
            <w:tcW w:w="929" w:type="dxa"/>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26.04.2014г. по 25.05.2014г.</w:t>
            </w:r>
          </w:p>
        </w:tc>
        <w:tc>
          <w:tcPr>
            <w:tcW w:w="1026" w:type="dxa"/>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26.05.2014г. по 25.06.2014г.</w:t>
            </w:r>
          </w:p>
        </w:tc>
        <w:tc>
          <w:tcPr>
            <w:tcW w:w="956"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26.06.2014г. по 25.07.2014г.</w:t>
            </w:r>
          </w:p>
        </w:tc>
        <w:tc>
          <w:tcPr>
            <w:tcW w:w="1080"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26.07.2014г. по 25.08.2014г.</w:t>
            </w:r>
          </w:p>
        </w:tc>
        <w:tc>
          <w:tcPr>
            <w:tcW w:w="1008"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26.08.2014г. по 25.09.2014г.</w:t>
            </w:r>
          </w:p>
        </w:tc>
        <w:tc>
          <w:tcPr>
            <w:tcW w:w="964"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26.09.2014г. по 25.10.2014г.</w:t>
            </w:r>
          </w:p>
        </w:tc>
        <w:tc>
          <w:tcPr>
            <w:tcW w:w="893"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26.10.2014г. по 25.11.2014г.</w:t>
            </w:r>
          </w:p>
        </w:tc>
        <w:tc>
          <w:tcPr>
            <w:tcW w:w="2535" w:type="dxa"/>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26.11.2014г. по 31.12.2014г. (дата окончания работ в соответствии с п. 3.1. Контракта)</w:t>
            </w:r>
          </w:p>
        </w:tc>
      </w:tr>
      <w:tr w:rsidR="00C54BB2" w:rsidRPr="00C54BB2" w:rsidTr="00A41E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302" w:type="dxa"/>
          <w:trHeight w:val="150"/>
          <w:jc w:val="center"/>
        </w:trPr>
        <w:tc>
          <w:tcPr>
            <w:tcW w:w="575" w:type="dxa"/>
            <w:gridSpan w:val="2"/>
            <w:vMerge w:val="restart"/>
            <w:tcBorders>
              <w:top w:val="single" w:sz="4" w:space="0" w:color="auto"/>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w:t>
            </w:r>
          </w:p>
        </w:tc>
        <w:tc>
          <w:tcPr>
            <w:tcW w:w="2175"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Подготовительные работы</w:t>
            </w:r>
          </w:p>
        </w:tc>
        <w:tc>
          <w:tcPr>
            <w:tcW w:w="153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249 600 000</w:t>
            </w:r>
          </w:p>
        </w:tc>
        <w:tc>
          <w:tcPr>
            <w:tcW w:w="982"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487 500</w:t>
            </w:r>
          </w:p>
        </w:tc>
        <w:tc>
          <w:tcPr>
            <w:tcW w:w="96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c>
          <w:tcPr>
            <w:tcW w:w="929"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4 875 000</w:t>
            </w:r>
          </w:p>
        </w:tc>
        <w:tc>
          <w:tcPr>
            <w:tcW w:w="1026"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29 250 000</w:t>
            </w:r>
          </w:p>
        </w:tc>
        <w:tc>
          <w:tcPr>
            <w:tcW w:w="956"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58 500 000</w:t>
            </w:r>
          </w:p>
        </w:tc>
        <w:tc>
          <w:tcPr>
            <w:tcW w:w="108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58 500 000</w:t>
            </w:r>
          </w:p>
        </w:tc>
        <w:tc>
          <w:tcPr>
            <w:tcW w:w="1008"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58 500 000</w:t>
            </w:r>
          </w:p>
        </w:tc>
        <w:tc>
          <w:tcPr>
            <w:tcW w:w="964"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37 050 000</w:t>
            </w:r>
          </w:p>
        </w:tc>
        <w:tc>
          <w:tcPr>
            <w:tcW w:w="893"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c>
          <w:tcPr>
            <w:tcW w:w="2535"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487 500</w:t>
            </w:r>
          </w:p>
        </w:tc>
      </w:tr>
      <w:tr w:rsidR="00C54BB2" w:rsidRPr="00C54BB2" w:rsidTr="00A41E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302" w:type="dxa"/>
          <w:trHeight w:val="159"/>
          <w:jc w:val="center"/>
        </w:trPr>
        <w:tc>
          <w:tcPr>
            <w:tcW w:w="575"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175"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Земляное полотно</w:t>
            </w:r>
          </w:p>
        </w:tc>
        <w:tc>
          <w:tcPr>
            <w:tcW w:w="1531"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82"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6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29"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26"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56"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8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08"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64"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893"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535"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302" w:type="dxa"/>
          <w:trHeight w:val="225"/>
          <w:jc w:val="center"/>
        </w:trPr>
        <w:tc>
          <w:tcPr>
            <w:tcW w:w="575"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175"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Дорожная одежда</w:t>
            </w:r>
          </w:p>
        </w:tc>
        <w:tc>
          <w:tcPr>
            <w:tcW w:w="1531"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82"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6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29"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26"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56"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8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08"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64"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893"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535"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302" w:type="dxa"/>
          <w:trHeight w:val="157"/>
          <w:jc w:val="center"/>
        </w:trPr>
        <w:tc>
          <w:tcPr>
            <w:tcW w:w="575"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175"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Искусственные </w:t>
            </w:r>
            <w:r w:rsidRPr="00C54BB2">
              <w:rPr>
                <w:rFonts w:ascii="Times New Roman" w:hAnsi="Times New Roman" w:cs="Times New Roman"/>
                <w:sz w:val="24"/>
                <w:szCs w:val="24"/>
              </w:rPr>
              <w:lastRenderedPageBreak/>
              <w:t>сооружения</w:t>
            </w:r>
          </w:p>
        </w:tc>
        <w:tc>
          <w:tcPr>
            <w:tcW w:w="1531"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82"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6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29"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26"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56"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8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08"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64"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893"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535"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302" w:type="dxa"/>
          <w:trHeight w:val="191"/>
          <w:jc w:val="center"/>
        </w:trPr>
        <w:tc>
          <w:tcPr>
            <w:tcW w:w="575" w:type="dxa"/>
            <w:gridSpan w:val="2"/>
            <w:vMerge/>
            <w:tcBorders>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175"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Обустройство дороги</w:t>
            </w:r>
          </w:p>
        </w:tc>
        <w:tc>
          <w:tcPr>
            <w:tcW w:w="1531"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82"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6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29"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26"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56"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8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008"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64"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893"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535"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302" w:type="dxa"/>
          <w:trHeight w:val="1398"/>
          <w:jc w:val="center"/>
        </w:trPr>
        <w:tc>
          <w:tcPr>
            <w:tcW w:w="575" w:type="dxa"/>
            <w:gridSpan w:val="2"/>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175"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Всего:</w:t>
            </w:r>
          </w:p>
        </w:tc>
        <w:tc>
          <w:tcPr>
            <w:tcW w:w="1531"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249 600 000</w:t>
            </w:r>
          </w:p>
        </w:tc>
        <w:tc>
          <w:tcPr>
            <w:tcW w:w="982"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487 500</w:t>
            </w:r>
          </w:p>
        </w:tc>
        <w:tc>
          <w:tcPr>
            <w:tcW w:w="96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c>
          <w:tcPr>
            <w:tcW w:w="929"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4 875 000</w:t>
            </w:r>
          </w:p>
        </w:tc>
        <w:tc>
          <w:tcPr>
            <w:tcW w:w="1026"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29 250 000</w:t>
            </w:r>
          </w:p>
        </w:tc>
        <w:tc>
          <w:tcPr>
            <w:tcW w:w="956"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58 500 000</w:t>
            </w:r>
          </w:p>
        </w:tc>
        <w:tc>
          <w:tcPr>
            <w:tcW w:w="108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58 500 000</w:t>
            </w:r>
          </w:p>
        </w:tc>
        <w:tc>
          <w:tcPr>
            <w:tcW w:w="1008"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58 500 000</w:t>
            </w:r>
          </w:p>
        </w:tc>
        <w:tc>
          <w:tcPr>
            <w:tcW w:w="964"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37 050 000</w:t>
            </w:r>
          </w:p>
        </w:tc>
        <w:tc>
          <w:tcPr>
            <w:tcW w:w="893"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c>
          <w:tcPr>
            <w:tcW w:w="2535"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487 500</w:t>
            </w:r>
          </w:p>
        </w:tc>
      </w:tr>
    </w:tbl>
    <w:p w:rsidR="00C54BB2" w:rsidRPr="00C54BB2" w:rsidRDefault="00C54BB2" w:rsidP="00C54BB2">
      <w:pPr>
        <w:rPr>
          <w:rFonts w:ascii="Times New Roman" w:hAnsi="Times New Roman" w:cs="Times New Roman"/>
          <w:sz w:val="24"/>
          <w:szCs w:val="24"/>
        </w:rPr>
      </w:pPr>
    </w:p>
    <w:tbl>
      <w:tblPr>
        <w:tblW w:w="9534" w:type="dxa"/>
        <w:jc w:val="center"/>
        <w:tblLook w:val="0000"/>
      </w:tblPr>
      <w:tblGrid>
        <w:gridCol w:w="4856"/>
        <w:gridCol w:w="4678"/>
      </w:tblGrid>
      <w:tr w:rsidR="00C54BB2" w:rsidRPr="00C54BB2" w:rsidTr="00A41E41">
        <w:trPr>
          <w:trHeight w:val="179"/>
          <w:jc w:val="center"/>
        </w:trPr>
        <w:tc>
          <w:tcPr>
            <w:tcW w:w="4856"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Начальник ГКУ НСО ТУАД</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 К.Г. Громенко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 П.</w:t>
            </w:r>
          </w:p>
        </w:tc>
        <w:tc>
          <w:tcPr>
            <w:tcW w:w="4678"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Генеральный директор ОАО «Сибмост»</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___________________ В.А. Кошкин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М.П.</w:t>
            </w:r>
          </w:p>
        </w:tc>
      </w:tr>
    </w:tbl>
    <w:p w:rsidR="00C54BB2" w:rsidRPr="00C54BB2" w:rsidRDefault="00C54BB2" w:rsidP="00C54BB2">
      <w:pPr>
        <w:rPr>
          <w:rFonts w:ascii="Times New Roman" w:hAnsi="Times New Roman" w:cs="Times New Roman"/>
          <w:sz w:val="24"/>
          <w:szCs w:val="24"/>
        </w:rPr>
        <w:sectPr w:rsidR="00C54BB2" w:rsidRPr="00C54BB2" w:rsidSect="009A105C">
          <w:pgSz w:w="16838" w:h="11906" w:orient="landscape" w:code="9"/>
          <w:pgMar w:top="1134" w:right="567" w:bottom="567" w:left="567" w:header="0" w:footer="510" w:gutter="0"/>
          <w:cols w:space="720"/>
        </w:sect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Приложение № 2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К Государственному контракту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2013.107096 от 09.07.2013г.</w:t>
      </w:r>
    </w:p>
    <w:p w:rsidR="00C54BB2" w:rsidRPr="00C54BB2" w:rsidRDefault="00C54BB2" w:rsidP="00C54BB2">
      <w:pPr>
        <w:rPr>
          <w:rFonts w:ascii="Times New Roman" w:hAnsi="Times New Roman" w:cs="Times New Roman"/>
          <w:sz w:val="24"/>
          <w:szCs w:val="24"/>
        </w:rPr>
      </w:pPr>
    </w:p>
    <w:tbl>
      <w:tblPr>
        <w:tblW w:w="15768" w:type="dxa"/>
        <w:jc w:val="center"/>
        <w:tblLayout w:type="fixed"/>
        <w:tblLook w:val="0000"/>
      </w:tblPr>
      <w:tblGrid>
        <w:gridCol w:w="88"/>
        <w:gridCol w:w="487"/>
        <w:gridCol w:w="3133"/>
        <w:gridCol w:w="1440"/>
        <w:gridCol w:w="900"/>
        <w:gridCol w:w="900"/>
        <w:gridCol w:w="900"/>
        <w:gridCol w:w="900"/>
        <w:gridCol w:w="900"/>
        <w:gridCol w:w="900"/>
        <w:gridCol w:w="900"/>
        <w:gridCol w:w="900"/>
        <w:gridCol w:w="932"/>
        <w:gridCol w:w="1696"/>
        <w:gridCol w:w="792"/>
      </w:tblGrid>
      <w:tr w:rsidR="00C54BB2" w:rsidRPr="00C54BB2" w:rsidTr="00A41E41">
        <w:trPr>
          <w:gridBefore w:val="1"/>
          <w:gridAfter w:val="1"/>
          <w:wBefore w:w="88" w:type="dxa"/>
          <w:wAfter w:w="792" w:type="dxa"/>
          <w:trHeight w:val="375"/>
          <w:jc w:val="center"/>
        </w:trPr>
        <w:tc>
          <w:tcPr>
            <w:tcW w:w="14888" w:type="dxa"/>
            <w:gridSpan w:val="13"/>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Календарный график производства и приемки работ</w:t>
            </w:r>
          </w:p>
        </w:tc>
      </w:tr>
      <w:tr w:rsidR="00C54BB2" w:rsidRPr="00C54BB2" w:rsidTr="00A41E41">
        <w:trPr>
          <w:gridBefore w:val="1"/>
          <w:gridAfter w:val="1"/>
          <w:wBefore w:w="88" w:type="dxa"/>
          <w:wAfter w:w="792" w:type="dxa"/>
          <w:trHeight w:val="375"/>
          <w:jc w:val="center"/>
        </w:trPr>
        <w:tc>
          <w:tcPr>
            <w:tcW w:w="14888" w:type="dxa"/>
            <w:gridSpan w:val="13"/>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 строительству автомобильной дороги «1432 км а/д «М-51» – Промышленно-логистический парк»</w:t>
            </w:r>
          </w:p>
        </w:tc>
      </w:tr>
      <w:tr w:rsidR="00C54BB2" w:rsidRPr="00C54BB2" w:rsidTr="00A41E41">
        <w:trPr>
          <w:gridBefore w:val="1"/>
          <w:gridAfter w:val="1"/>
          <w:wBefore w:w="88" w:type="dxa"/>
          <w:wAfter w:w="792" w:type="dxa"/>
          <w:trHeight w:val="375"/>
          <w:jc w:val="center"/>
        </w:trPr>
        <w:tc>
          <w:tcPr>
            <w:tcW w:w="14888" w:type="dxa"/>
            <w:gridSpan w:val="13"/>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протяженностью </w:t>
            </w:r>
            <w:smartTag w:uri="urn:schemas-microsoft-com:office:smarttags" w:element="metricconverter">
              <w:smartTagPr>
                <w:attr w:name="ProductID" w:val="3,809 км"/>
              </w:smartTagPr>
              <w:r w:rsidRPr="00C54BB2">
                <w:rPr>
                  <w:rFonts w:ascii="Times New Roman" w:hAnsi="Times New Roman" w:cs="Times New Roman"/>
                  <w:sz w:val="24"/>
                  <w:szCs w:val="24"/>
                </w:rPr>
                <w:t>3,809 км</w:t>
              </w:r>
            </w:smartTag>
            <w:r w:rsidRPr="00C54BB2">
              <w:rPr>
                <w:rFonts w:ascii="Times New Roman" w:hAnsi="Times New Roman" w:cs="Times New Roman"/>
                <w:sz w:val="24"/>
                <w:szCs w:val="24"/>
              </w:rPr>
              <w:t>, выполняемый в 2015 году</w:t>
            </w: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trHeight w:val="281"/>
        </w:trPr>
        <w:tc>
          <w:tcPr>
            <w:tcW w:w="5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п/п</w:t>
            </w:r>
          </w:p>
        </w:tc>
        <w:tc>
          <w:tcPr>
            <w:tcW w:w="313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Наименование работ</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Всего по Контракту в 2015 году, руб.</w:t>
            </w:r>
          </w:p>
        </w:tc>
        <w:tc>
          <w:tcPr>
            <w:tcW w:w="10620" w:type="dxa"/>
            <w:gridSpan w:val="11"/>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том числе по отчетным периодам</w:t>
            </w: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trHeight w:val="1884"/>
        </w:trPr>
        <w:tc>
          <w:tcPr>
            <w:tcW w:w="5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p>
        </w:tc>
        <w:tc>
          <w:tcPr>
            <w:tcW w:w="313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p>
        </w:tc>
        <w:tc>
          <w:tcPr>
            <w:tcW w:w="14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p>
        </w:tc>
        <w:tc>
          <w:tcPr>
            <w:tcW w:w="900" w:type="dxa"/>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01.01.2015г. по 25.03.2015г.</w:t>
            </w:r>
          </w:p>
        </w:tc>
        <w:tc>
          <w:tcPr>
            <w:tcW w:w="900" w:type="dxa"/>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26.03.2015г. по 25.04.2015г.</w:t>
            </w:r>
          </w:p>
        </w:tc>
        <w:tc>
          <w:tcPr>
            <w:tcW w:w="900" w:type="dxa"/>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26.04.2015г. по 25.05.2015г.</w:t>
            </w:r>
          </w:p>
        </w:tc>
        <w:tc>
          <w:tcPr>
            <w:tcW w:w="900" w:type="dxa"/>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26.05.2015г. по 25.06.2015г.</w:t>
            </w:r>
          </w:p>
        </w:tc>
        <w:tc>
          <w:tcPr>
            <w:tcW w:w="900"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26.06.2015г. по 25.07.2015г.</w:t>
            </w:r>
          </w:p>
        </w:tc>
        <w:tc>
          <w:tcPr>
            <w:tcW w:w="900"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26.07.2015г. по 25.08.2015г.</w:t>
            </w:r>
          </w:p>
        </w:tc>
        <w:tc>
          <w:tcPr>
            <w:tcW w:w="900"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26.08.2015г. по 25.09.2015г.</w:t>
            </w:r>
          </w:p>
        </w:tc>
        <w:tc>
          <w:tcPr>
            <w:tcW w:w="900"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26.09.2015г. по 25.10.2015г.</w:t>
            </w:r>
          </w:p>
        </w:tc>
        <w:tc>
          <w:tcPr>
            <w:tcW w:w="932" w:type="dxa"/>
            <w:tcBorders>
              <w:top w:val="single" w:sz="4" w:space="0" w:color="auto"/>
              <w:left w:val="single" w:sz="4" w:space="0" w:color="auto"/>
              <w:right w:val="single" w:sz="4" w:space="0" w:color="auto"/>
            </w:tcBorders>
            <w:shd w:val="clear" w:color="auto" w:fill="auto"/>
            <w:textDirection w:val="btL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26.10.2015г. по 25.11.2015г.</w:t>
            </w:r>
          </w:p>
        </w:tc>
        <w:tc>
          <w:tcPr>
            <w:tcW w:w="2488" w:type="dxa"/>
            <w:gridSpan w:val="2"/>
            <w:tcBorders>
              <w:top w:val="single" w:sz="4" w:space="0" w:color="auto"/>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26.11.2015г. по 31.12.2015г.</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работ в соответствии с п. 3.1. Контракта)</w:t>
            </w: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trHeight w:val="150"/>
        </w:trPr>
        <w:tc>
          <w:tcPr>
            <w:tcW w:w="575" w:type="dxa"/>
            <w:gridSpan w:val="2"/>
            <w:vMerge w:val="restart"/>
            <w:tcBorders>
              <w:top w:val="single" w:sz="4" w:space="0" w:color="auto"/>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w:t>
            </w: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Подготовительные работы</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721 500 000</w:t>
            </w:r>
          </w:p>
        </w:tc>
        <w:tc>
          <w:tcPr>
            <w:tcW w:w="90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c>
          <w:tcPr>
            <w:tcW w:w="90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4 875 000</w:t>
            </w:r>
          </w:p>
        </w:tc>
        <w:tc>
          <w:tcPr>
            <w:tcW w:w="90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19 500 000</w:t>
            </w:r>
          </w:p>
        </w:tc>
        <w:tc>
          <w:tcPr>
            <w:tcW w:w="90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87 750 000</w:t>
            </w:r>
          </w:p>
        </w:tc>
        <w:tc>
          <w:tcPr>
            <w:tcW w:w="90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146 250 000</w:t>
            </w:r>
          </w:p>
        </w:tc>
        <w:tc>
          <w:tcPr>
            <w:tcW w:w="90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146 250 000</w:t>
            </w:r>
          </w:p>
        </w:tc>
        <w:tc>
          <w:tcPr>
            <w:tcW w:w="90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146 250 000</w:t>
            </w:r>
          </w:p>
        </w:tc>
        <w:tc>
          <w:tcPr>
            <w:tcW w:w="900"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97 500 000</w:t>
            </w:r>
          </w:p>
        </w:tc>
        <w:tc>
          <w:tcPr>
            <w:tcW w:w="932" w:type="dxa"/>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71 175 000</w:t>
            </w:r>
          </w:p>
        </w:tc>
        <w:tc>
          <w:tcPr>
            <w:tcW w:w="2488" w:type="dxa"/>
            <w:gridSpan w:val="2"/>
            <w:vMerge w:val="restart"/>
            <w:tcBorders>
              <w:left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trHeight w:val="159"/>
        </w:trPr>
        <w:tc>
          <w:tcPr>
            <w:tcW w:w="575"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Земляное полотно</w:t>
            </w:r>
          </w:p>
        </w:tc>
        <w:tc>
          <w:tcPr>
            <w:tcW w:w="144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32"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488"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trHeight w:val="225"/>
        </w:trPr>
        <w:tc>
          <w:tcPr>
            <w:tcW w:w="575"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Дорожная одежда</w:t>
            </w:r>
          </w:p>
        </w:tc>
        <w:tc>
          <w:tcPr>
            <w:tcW w:w="144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32"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488"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trHeight w:val="157"/>
        </w:trPr>
        <w:tc>
          <w:tcPr>
            <w:tcW w:w="575"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Искусственные сооружения</w:t>
            </w:r>
          </w:p>
        </w:tc>
        <w:tc>
          <w:tcPr>
            <w:tcW w:w="144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32"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488"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trHeight w:val="563"/>
        </w:trPr>
        <w:tc>
          <w:tcPr>
            <w:tcW w:w="575" w:type="dxa"/>
            <w:gridSpan w:val="2"/>
            <w:vMerge/>
            <w:tcBorders>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31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Обустройство дороги</w:t>
            </w:r>
          </w:p>
        </w:tc>
        <w:tc>
          <w:tcPr>
            <w:tcW w:w="144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0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932"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488"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trHeight w:val="1499"/>
        </w:trPr>
        <w:tc>
          <w:tcPr>
            <w:tcW w:w="575" w:type="dxa"/>
            <w:gridSpan w:val="2"/>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3133"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Всего:</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721 500 000</w:t>
            </w:r>
          </w:p>
        </w:tc>
        <w:tc>
          <w:tcPr>
            <w:tcW w:w="90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c>
          <w:tcPr>
            <w:tcW w:w="90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4 875 000</w:t>
            </w:r>
          </w:p>
        </w:tc>
        <w:tc>
          <w:tcPr>
            <w:tcW w:w="90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19 500 000</w:t>
            </w:r>
          </w:p>
        </w:tc>
        <w:tc>
          <w:tcPr>
            <w:tcW w:w="90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87 750 000</w:t>
            </w:r>
          </w:p>
        </w:tc>
        <w:tc>
          <w:tcPr>
            <w:tcW w:w="90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146 250 000</w:t>
            </w:r>
          </w:p>
        </w:tc>
        <w:tc>
          <w:tcPr>
            <w:tcW w:w="90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146 250 000</w:t>
            </w:r>
          </w:p>
        </w:tc>
        <w:tc>
          <w:tcPr>
            <w:tcW w:w="90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146 250 000</w:t>
            </w:r>
          </w:p>
        </w:tc>
        <w:tc>
          <w:tcPr>
            <w:tcW w:w="900"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97 500 000</w:t>
            </w:r>
          </w:p>
        </w:tc>
        <w:tc>
          <w:tcPr>
            <w:tcW w:w="932" w:type="dxa"/>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71 175 000</w:t>
            </w:r>
          </w:p>
        </w:tc>
        <w:tc>
          <w:tcPr>
            <w:tcW w:w="2488" w:type="dxa"/>
            <w:gridSpan w:val="2"/>
            <w:tcBorders>
              <w:left w:val="single" w:sz="4" w:space="0" w:color="auto"/>
              <w:bottom w:val="single" w:sz="4" w:space="0" w:color="auto"/>
              <w:right w:val="single" w:sz="4" w:space="0" w:color="auto"/>
            </w:tcBorders>
            <w:shd w:val="clear" w:color="auto" w:fill="auto"/>
            <w:textDirection w:val="btLr"/>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r>
    </w:tbl>
    <w:p w:rsidR="00C54BB2" w:rsidRPr="00C54BB2" w:rsidRDefault="00C54BB2" w:rsidP="00C54BB2">
      <w:pPr>
        <w:rPr>
          <w:rFonts w:ascii="Times New Roman" w:hAnsi="Times New Roman" w:cs="Times New Roman"/>
          <w:sz w:val="24"/>
          <w:szCs w:val="24"/>
        </w:rPr>
      </w:pPr>
    </w:p>
    <w:tbl>
      <w:tblPr>
        <w:tblW w:w="9534" w:type="dxa"/>
        <w:jc w:val="center"/>
        <w:tblLook w:val="0000"/>
      </w:tblPr>
      <w:tblGrid>
        <w:gridCol w:w="4856"/>
        <w:gridCol w:w="4678"/>
      </w:tblGrid>
      <w:tr w:rsidR="00C54BB2" w:rsidRPr="00C54BB2" w:rsidTr="00A41E41">
        <w:trPr>
          <w:trHeight w:val="977"/>
          <w:jc w:val="center"/>
        </w:trPr>
        <w:tc>
          <w:tcPr>
            <w:tcW w:w="4856"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Начальник ГКУ НСО ТУАД</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 К.Г. Громенко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 П.</w:t>
            </w:r>
          </w:p>
        </w:tc>
        <w:tc>
          <w:tcPr>
            <w:tcW w:w="4678"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Генеральный директор ОАО «Сибмост»</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___________________ В.А. Кошкин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М.П.</w:t>
            </w:r>
          </w:p>
        </w:tc>
      </w:tr>
    </w:tbl>
    <w:p w:rsidR="00C54BB2" w:rsidRPr="00C54BB2" w:rsidRDefault="00C54BB2" w:rsidP="00C54BB2">
      <w:pPr>
        <w:rPr>
          <w:rFonts w:ascii="Times New Roman" w:hAnsi="Times New Roman" w:cs="Times New Roman"/>
          <w:sz w:val="24"/>
          <w:szCs w:val="24"/>
        </w:rPr>
        <w:sectPr w:rsidR="00C54BB2" w:rsidRPr="00C54BB2" w:rsidSect="009A105C">
          <w:pgSz w:w="16838" w:h="11906" w:orient="landscape" w:code="9"/>
          <w:pgMar w:top="1134" w:right="567" w:bottom="567" w:left="567" w:header="0" w:footer="510" w:gutter="0"/>
          <w:cols w:space="720"/>
        </w:sect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Приложение № 3 к Приложению № 2</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К Государственному контракту </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2013.107096 от 09.07.2013г.</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tbl>
      <w:tblPr>
        <w:tblW w:w="16061" w:type="dxa"/>
        <w:jc w:val="center"/>
        <w:tblLayout w:type="fixed"/>
        <w:tblLook w:val="0000"/>
      </w:tblPr>
      <w:tblGrid>
        <w:gridCol w:w="88"/>
        <w:gridCol w:w="487"/>
        <w:gridCol w:w="2233"/>
        <w:gridCol w:w="1440"/>
        <w:gridCol w:w="1620"/>
        <w:gridCol w:w="1620"/>
        <w:gridCol w:w="1620"/>
        <w:gridCol w:w="1620"/>
        <w:gridCol w:w="1620"/>
        <w:gridCol w:w="1620"/>
        <w:gridCol w:w="1620"/>
        <w:gridCol w:w="473"/>
      </w:tblGrid>
      <w:tr w:rsidR="00C54BB2" w:rsidRPr="00C54BB2" w:rsidTr="00A41E41">
        <w:trPr>
          <w:gridBefore w:val="1"/>
          <w:wBefore w:w="88" w:type="dxa"/>
          <w:trHeight w:val="375"/>
          <w:jc w:val="center"/>
        </w:trPr>
        <w:tc>
          <w:tcPr>
            <w:tcW w:w="15973" w:type="dxa"/>
            <w:gridSpan w:val="11"/>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Календарный график производства и приемки работ</w:t>
            </w:r>
          </w:p>
        </w:tc>
      </w:tr>
      <w:tr w:rsidR="00C54BB2" w:rsidRPr="00C54BB2" w:rsidTr="00A41E41">
        <w:trPr>
          <w:gridBefore w:val="1"/>
          <w:wBefore w:w="88" w:type="dxa"/>
          <w:trHeight w:val="323"/>
          <w:jc w:val="center"/>
        </w:trPr>
        <w:tc>
          <w:tcPr>
            <w:tcW w:w="15973" w:type="dxa"/>
            <w:gridSpan w:val="11"/>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 строительству автомобильной дороги «1432 км а/д «М-51» – Промышленно-логистический парк»</w:t>
            </w:r>
          </w:p>
        </w:tc>
      </w:tr>
      <w:tr w:rsidR="00C54BB2" w:rsidRPr="00C54BB2" w:rsidTr="00A41E41">
        <w:trPr>
          <w:gridBefore w:val="1"/>
          <w:wBefore w:w="88" w:type="dxa"/>
          <w:trHeight w:val="167"/>
          <w:jc w:val="center"/>
        </w:trPr>
        <w:tc>
          <w:tcPr>
            <w:tcW w:w="15973" w:type="dxa"/>
            <w:gridSpan w:val="11"/>
            <w:noWrap/>
            <w:vAlign w:val="bottom"/>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протяженностью </w:t>
            </w:r>
            <w:smartTag w:uri="urn:schemas-microsoft-com:office:smarttags" w:element="metricconverter">
              <w:smartTagPr>
                <w:attr w:name="ProductID" w:val="3,809 км"/>
              </w:smartTagPr>
              <w:r w:rsidRPr="00C54BB2">
                <w:rPr>
                  <w:rFonts w:ascii="Times New Roman" w:hAnsi="Times New Roman" w:cs="Times New Roman"/>
                  <w:sz w:val="24"/>
                  <w:szCs w:val="24"/>
                </w:rPr>
                <w:t>3,809 км</w:t>
              </w:r>
            </w:smartTag>
            <w:r w:rsidRPr="00C54BB2">
              <w:rPr>
                <w:rFonts w:ascii="Times New Roman" w:hAnsi="Times New Roman" w:cs="Times New Roman"/>
                <w:sz w:val="24"/>
                <w:szCs w:val="24"/>
              </w:rPr>
              <w:t>, выполняемый в 2016 году</w:t>
            </w: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473" w:type="dxa"/>
          <w:trHeight w:val="431"/>
        </w:trPr>
        <w:tc>
          <w:tcPr>
            <w:tcW w:w="5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п/п</w:t>
            </w:r>
          </w:p>
        </w:tc>
        <w:tc>
          <w:tcPr>
            <w:tcW w:w="223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Наименование работ</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Всего по Контракту в 2016 году, руб.</w:t>
            </w:r>
          </w:p>
        </w:tc>
        <w:tc>
          <w:tcPr>
            <w:tcW w:w="11340"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 том числе по отчетным периодам</w:t>
            </w: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473" w:type="dxa"/>
          <w:trHeight w:val="1157"/>
        </w:trPr>
        <w:tc>
          <w:tcPr>
            <w:tcW w:w="5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p>
        </w:tc>
        <w:tc>
          <w:tcPr>
            <w:tcW w:w="2233"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p>
        </w:tc>
        <w:tc>
          <w:tcPr>
            <w:tcW w:w="14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p>
        </w:tc>
        <w:tc>
          <w:tcPr>
            <w:tcW w:w="1620" w:type="dxa"/>
            <w:tcBorders>
              <w:top w:val="single" w:sz="4" w:space="0" w:color="auto"/>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01.01.2016г. по 25.03.2016г.</w:t>
            </w:r>
          </w:p>
        </w:tc>
        <w:tc>
          <w:tcPr>
            <w:tcW w:w="1620" w:type="dxa"/>
            <w:tcBorders>
              <w:top w:val="single" w:sz="4" w:space="0" w:color="auto"/>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26.03.2016г. по 25.04.2016г.</w:t>
            </w:r>
          </w:p>
        </w:tc>
        <w:tc>
          <w:tcPr>
            <w:tcW w:w="1620" w:type="dxa"/>
            <w:tcBorders>
              <w:top w:val="single" w:sz="4" w:space="0" w:color="auto"/>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26.04.2016г. по 25.05.2016г.</w:t>
            </w:r>
          </w:p>
        </w:tc>
        <w:tc>
          <w:tcPr>
            <w:tcW w:w="1620" w:type="dxa"/>
            <w:tcBorders>
              <w:top w:val="single" w:sz="4" w:space="0" w:color="auto"/>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26.05.2016г. по 25.06.2016г.</w:t>
            </w:r>
          </w:p>
        </w:tc>
        <w:tc>
          <w:tcPr>
            <w:tcW w:w="1620" w:type="dxa"/>
            <w:tcBorders>
              <w:top w:val="single" w:sz="4" w:space="0" w:color="auto"/>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26.06.2016г. по 25.07.2016г.</w:t>
            </w:r>
          </w:p>
        </w:tc>
        <w:tc>
          <w:tcPr>
            <w:tcW w:w="1620" w:type="dxa"/>
            <w:tcBorders>
              <w:top w:val="single" w:sz="4" w:space="0" w:color="auto"/>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26.07.2016г. по 25.08.2016г.</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 26.08.2016г. по 02.09.2016г.</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(дата окончания работ в соответствии с п. 3.1. Контракта)</w:t>
            </w: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473" w:type="dxa"/>
          <w:trHeight w:val="150"/>
        </w:trPr>
        <w:tc>
          <w:tcPr>
            <w:tcW w:w="575" w:type="dxa"/>
            <w:gridSpan w:val="2"/>
            <w:vMerge w:val="restart"/>
            <w:tcBorders>
              <w:top w:val="single" w:sz="4" w:space="0" w:color="auto"/>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1</w:t>
            </w:r>
          </w:p>
        </w:tc>
        <w:tc>
          <w:tcPr>
            <w:tcW w:w="22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Подготовительные работы</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474 681 285</w:t>
            </w:r>
          </w:p>
        </w:tc>
        <w:tc>
          <w:tcPr>
            <w:tcW w:w="1620" w:type="dxa"/>
            <w:vMerge w:val="restart"/>
            <w:tcBorders>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c>
          <w:tcPr>
            <w:tcW w:w="1620" w:type="dxa"/>
            <w:vMerge w:val="restart"/>
            <w:tcBorders>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4 875 000</w:t>
            </w:r>
          </w:p>
        </w:tc>
        <w:tc>
          <w:tcPr>
            <w:tcW w:w="1620" w:type="dxa"/>
            <w:vMerge w:val="restart"/>
            <w:tcBorders>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58 500 000</w:t>
            </w:r>
          </w:p>
        </w:tc>
        <w:tc>
          <w:tcPr>
            <w:tcW w:w="1620" w:type="dxa"/>
            <w:vMerge w:val="restart"/>
            <w:tcBorders>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136 500 000</w:t>
            </w:r>
          </w:p>
        </w:tc>
        <w:tc>
          <w:tcPr>
            <w:tcW w:w="1620" w:type="dxa"/>
            <w:vMerge w:val="restart"/>
            <w:tcBorders>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136 500 000</w:t>
            </w:r>
          </w:p>
        </w:tc>
        <w:tc>
          <w:tcPr>
            <w:tcW w:w="1620" w:type="dxa"/>
            <w:vMerge w:val="restart"/>
            <w:tcBorders>
              <w:left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136 500 000</w:t>
            </w:r>
          </w:p>
        </w:tc>
        <w:tc>
          <w:tcPr>
            <w:tcW w:w="16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831 285</w:t>
            </w: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473" w:type="dxa"/>
          <w:trHeight w:val="159"/>
        </w:trPr>
        <w:tc>
          <w:tcPr>
            <w:tcW w:w="575"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2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Земляное полотно</w:t>
            </w:r>
          </w:p>
        </w:tc>
        <w:tc>
          <w:tcPr>
            <w:tcW w:w="144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473" w:type="dxa"/>
          <w:trHeight w:val="225"/>
        </w:trPr>
        <w:tc>
          <w:tcPr>
            <w:tcW w:w="575"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2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Дорожная одежда</w:t>
            </w:r>
          </w:p>
        </w:tc>
        <w:tc>
          <w:tcPr>
            <w:tcW w:w="144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473" w:type="dxa"/>
          <w:trHeight w:val="157"/>
        </w:trPr>
        <w:tc>
          <w:tcPr>
            <w:tcW w:w="575" w:type="dxa"/>
            <w:gridSpan w:val="2"/>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2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Искусственные сооружения</w:t>
            </w:r>
          </w:p>
        </w:tc>
        <w:tc>
          <w:tcPr>
            <w:tcW w:w="144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473" w:type="dxa"/>
          <w:trHeight w:val="191"/>
        </w:trPr>
        <w:tc>
          <w:tcPr>
            <w:tcW w:w="575" w:type="dxa"/>
            <w:gridSpan w:val="2"/>
            <w:vMerge/>
            <w:tcBorders>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233" w:type="dxa"/>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Обустройство дороги</w:t>
            </w:r>
          </w:p>
        </w:tc>
        <w:tc>
          <w:tcPr>
            <w:tcW w:w="144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left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1620" w:type="dxa"/>
            <w:vMerge/>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r>
      <w:tr w:rsidR="00C54BB2" w:rsidRPr="00C54BB2" w:rsidTr="00A41E4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Ex>
        <w:trPr>
          <w:gridAfter w:val="1"/>
          <w:wAfter w:w="473" w:type="dxa"/>
          <w:trHeight w:val="92"/>
        </w:trPr>
        <w:tc>
          <w:tcPr>
            <w:tcW w:w="575" w:type="dxa"/>
            <w:gridSpan w:val="2"/>
            <w:tcBorders>
              <w:top w:val="single" w:sz="4" w:space="0" w:color="auto"/>
              <w:left w:val="single" w:sz="4" w:space="0" w:color="auto"/>
              <w:bottom w:val="single" w:sz="4" w:space="0" w:color="auto"/>
              <w:right w:val="single" w:sz="4" w:space="0" w:color="auto"/>
            </w:tcBorders>
            <w:shd w:val="clear" w:color="auto" w:fill="auto"/>
          </w:tcPr>
          <w:p w:rsidR="00C54BB2" w:rsidRPr="00C54BB2" w:rsidRDefault="00C54BB2" w:rsidP="00C54BB2">
            <w:pPr>
              <w:rPr>
                <w:rFonts w:ascii="Times New Roman" w:hAnsi="Times New Roman" w:cs="Times New Roman"/>
                <w:sz w:val="24"/>
                <w:szCs w:val="24"/>
              </w:rPr>
            </w:pPr>
          </w:p>
        </w:tc>
        <w:tc>
          <w:tcPr>
            <w:tcW w:w="2233"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Всего:</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474 681 285</w:t>
            </w:r>
          </w:p>
        </w:tc>
        <w:tc>
          <w:tcPr>
            <w:tcW w:w="1620" w:type="dxa"/>
            <w:tcBorders>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975 000</w:t>
            </w:r>
          </w:p>
        </w:tc>
        <w:tc>
          <w:tcPr>
            <w:tcW w:w="1620" w:type="dxa"/>
            <w:tcBorders>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4 875 000</w:t>
            </w:r>
          </w:p>
        </w:tc>
        <w:tc>
          <w:tcPr>
            <w:tcW w:w="1620" w:type="dxa"/>
            <w:tcBorders>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58 500 000</w:t>
            </w:r>
          </w:p>
        </w:tc>
        <w:tc>
          <w:tcPr>
            <w:tcW w:w="1620" w:type="dxa"/>
            <w:tcBorders>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136 500 000</w:t>
            </w:r>
          </w:p>
        </w:tc>
        <w:tc>
          <w:tcPr>
            <w:tcW w:w="1620" w:type="dxa"/>
            <w:tcBorders>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136 500 000</w:t>
            </w:r>
          </w:p>
        </w:tc>
        <w:tc>
          <w:tcPr>
            <w:tcW w:w="1620" w:type="dxa"/>
            <w:tcBorders>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136 500 000</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831 285</w:t>
            </w:r>
          </w:p>
        </w:tc>
      </w:tr>
    </w:tbl>
    <w:p w:rsidR="00C54BB2" w:rsidRPr="00C54BB2" w:rsidRDefault="00C54BB2" w:rsidP="00C54BB2">
      <w:pPr>
        <w:rPr>
          <w:rFonts w:ascii="Times New Roman" w:hAnsi="Times New Roman" w:cs="Times New Roman"/>
          <w:sz w:val="24"/>
          <w:szCs w:val="24"/>
        </w:rPr>
      </w:pPr>
    </w:p>
    <w:tbl>
      <w:tblPr>
        <w:tblW w:w="9534" w:type="dxa"/>
        <w:jc w:val="center"/>
        <w:tblLook w:val="0000"/>
      </w:tblPr>
      <w:tblGrid>
        <w:gridCol w:w="4856"/>
        <w:gridCol w:w="4678"/>
      </w:tblGrid>
      <w:tr w:rsidR="00C54BB2" w:rsidRPr="00C54BB2" w:rsidTr="00A41E41">
        <w:trPr>
          <w:trHeight w:val="977"/>
          <w:jc w:val="center"/>
        </w:trPr>
        <w:tc>
          <w:tcPr>
            <w:tcW w:w="4856"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Начальник ГКУ НСО ТУАД</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 К.Г. Громенко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 П.</w:t>
            </w:r>
          </w:p>
        </w:tc>
        <w:tc>
          <w:tcPr>
            <w:tcW w:w="4678"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Генеральный директор ОАО «Сибмост»</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___________________ В.А. Кошкин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М.П.</w:t>
            </w:r>
          </w:p>
        </w:tc>
      </w:tr>
    </w:tbl>
    <w:p w:rsidR="00C54BB2" w:rsidRPr="00C54BB2" w:rsidRDefault="00C54BB2" w:rsidP="00C54BB2">
      <w:pPr>
        <w:rPr>
          <w:rFonts w:ascii="Times New Roman" w:hAnsi="Times New Roman" w:cs="Times New Roman"/>
          <w:sz w:val="24"/>
          <w:szCs w:val="24"/>
        </w:rPr>
        <w:sectPr w:rsidR="00C54BB2" w:rsidRPr="00C54BB2">
          <w:pgSz w:w="16838" w:h="11906" w:orient="landscape"/>
          <w:pgMar w:top="1418" w:right="851" w:bottom="851" w:left="851" w:header="0" w:footer="510" w:gutter="0"/>
          <w:cols w:space="720"/>
        </w:sect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Приложение № 3</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 государственному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2013.107096 от 09.07.2013г.</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Перечень нормативно-технических документов,</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обязательных при выполнении дорожных работ по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строительству автомобильных дорог и искусственных сооружений на них</w:t>
      </w:r>
    </w:p>
    <w:p w:rsidR="00C54BB2" w:rsidRPr="00C54BB2" w:rsidRDefault="00C54BB2" w:rsidP="00C54BB2">
      <w:pPr>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0"/>
        <w:gridCol w:w="3060"/>
        <w:gridCol w:w="6480"/>
      </w:tblGrid>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п.п.</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Обозначение нормативного документа</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Название нормативного документа</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Федеральный закон РФ* «Об обеспечении единства измерений» от 26.06.2008г. № 102-ФЗ</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Об обеспечении единства измерений </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 50.2.006-94*</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Приказ Госстандарта России от 18.07.1994г. № 125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Государственная система обеспечения единства измерений. Порядок проведения поверки средств измерений.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12.2.011-2003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Система стандартов безопасности труда. Машины строительные, дорожные и землеройные. Общие требования.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ГОСТ12.1.013-78 </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Система стандартов безопасности труда. Строительство. Электробезопасность. Общие требования.</w:t>
            </w:r>
          </w:p>
        </w:tc>
      </w:tr>
      <w:tr w:rsidR="00C54BB2" w:rsidRPr="00C54BB2" w:rsidTr="00A41E41">
        <w:trPr>
          <w:trHeight w:val="605"/>
        </w:trPr>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17.0.0.01-76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Система стандартов в области охраны природы и улучшения использования природных ресурсов. Основные положения.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17.1.1.01-77</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Охрана природы. Гидросфера. Использование и охрана вод. Основные термины и определения.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17.2.1.01-76*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Охрана природы. Атмосфера. Классификация выбросов по составу.</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17.4.3.02-85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Охрана природы. Почвы. Требования к охране плодородного слоя почвы при производстве земляных работ</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17.5.1.02-85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Охрана природы. Земли. Классификация нарушенных земель для рекультивации.</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10.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ГОСТ17.5.3.05-84</w:t>
            </w:r>
          </w:p>
          <w:p w:rsidR="00C54BB2" w:rsidRPr="00C54BB2" w:rsidRDefault="00C54BB2" w:rsidP="00C54BB2">
            <w:pPr>
              <w:rPr>
                <w:rFonts w:ascii="Times New Roman" w:hAnsi="Times New Roman" w:cs="Times New Roman"/>
                <w:sz w:val="24"/>
                <w:szCs w:val="24"/>
              </w:rPr>
            </w:pP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Охрана природы. Рекультивация земель. Общие требования к землеванию.</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21.1001-2009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Система проектной документации для строительства. Общие положения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3344-83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Щебень и песок шлаковые для дорожного строительства.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5180-84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Грунты. Методы лабораторного определения физических характеристик</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6139-2003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Песок для испытаний цемента.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6665-91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Камни бетонные и железобетонные бортовые.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6666-81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Камни бортовые из горных пород.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7473-2010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Смеси бетонные.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8267-93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Щебень и гравий из плотных горных пород для строительных работ.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8736-93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Песок для строительных работ. Технические условия</w:t>
            </w:r>
          </w:p>
        </w:tc>
      </w:tr>
      <w:tr w:rsidR="00C54BB2" w:rsidRPr="00C54BB2" w:rsidTr="00A41E41">
        <w:trPr>
          <w:trHeight w:val="291"/>
        </w:trPr>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ИСО 9001-2008</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Системы менеджмента качества. Требования</w:t>
            </w:r>
          </w:p>
        </w:tc>
      </w:tr>
      <w:tr w:rsidR="00C54BB2" w:rsidRPr="00C54BB2" w:rsidTr="00A41E41">
        <w:trPr>
          <w:trHeight w:val="582"/>
        </w:trPr>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9128-2009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Смеси асфальтобетонные дорожные, аэродромные и асфальтобетон.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10178-85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Портландцемент и шлакопортландцемент.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10180-90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Методы определения прочности по контрольным образцам</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10181-2000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Смеси бетонные. Методы испытаний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52290-2004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Знаки дорожные. Общие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12071-2000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Грунты. Отбор, упаковка, транспортирование и хранение образцов</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12730.0-78</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Общие требования к методам определения плотности, влажности, водопоглощения, пористости и водонепроницаемости</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28.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12801-98*</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Материалы на основе органических вяжущих для дорожного и аэродромного строительства. Методы испытаний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29.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12852.0-77</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 ячеистый. Общие требования к методам испытаний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13015-2003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Изделия железобетонные и бетонные для строительства. Общие технические требования. Правила приемки, маркировки, транспортирования и хранения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ИСО 14001-2007</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Системы управления окружающей средой. Требования и руководство по применению</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15467-79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Управление качеством продукции. Основные понятия. Термины и определения.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ИСО/МЭК 17025-2006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Общие требования к компетентности испытательных и калибровочных лабораторий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53231-2008</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Правила контроля и оценки прочности</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19804-91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Сваи железобетонные.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20054-82</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Трубы бетонные безнапорные.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22000-86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Трубы бетонные и железобетонные. Типы и основные параметры</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22245-90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Битумы нефтяные дорожные вязкие.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39.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22263-76*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Щебень и песок из пористых горных пород.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22266-94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Цементы сульфатостойкие.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22733-2002</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Грунты. Метод лабораторного определения максимальной плотности</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22856-89*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Щебень и песок декоративные из природного камня.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23118-99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Конструкции стальные строительные. Общие технические условия</w:t>
            </w:r>
          </w:p>
        </w:tc>
      </w:tr>
      <w:tr w:rsidR="00C54BB2" w:rsidRPr="00C54BB2" w:rsidTr="00A41E41">
        <w:trPr>
          <w:trHeight w:val="1157"/>
        </w:trPr>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52289-2004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23558-94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Смеси щебеночно-гравийно-песчаные и грунты обработанные неорганическими вяжущими материалами, для дорожного и аэродромного строительства.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23732-79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Вода для бетонов и растворов.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47.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23735-79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Смеси песчано-гравийные для строительных работ.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24211-2008</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Добавки для бетонов и строительных растворов. Общие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49.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24547-81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Звенья железобетонные водопропускных труб под насыпи автомобильных и железных дорог. Общие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24640-91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Добавки для цементов. Классификация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25100-95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Грунты. Классификация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25192-82</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Классификация. Общие технические требования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25246-82</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химически стойкие.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25459-82</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Опоры железобетонные дорожных знаков.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25485-89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ячеистые.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25584-90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Грунты. Методы лабораторного определения коэффициента фильтрации</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25607-2009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Смеси щебеночно-гравийно-песчаные для покрытий и оснований автомобильных дорог и аэродромов.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25818-91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Золы-уноса тепловых электростанций.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59.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25820-2000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легкие.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26633-91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тяжелые и мелкозернистые.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26644-85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Щебень и песок из шлаков тепловых электростанций для бетона.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26804-86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Ограждения дорожные металлические барьерного типа.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27006-86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Правила подбора состава</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28570-90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Бетоны. Методы определения прочности по образцам, отобранным из конструкций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30108-94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Материалы и изделия строительные. Определение удельной эффективной активности естественных радионуклидов</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30412-96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Дороги автомобильные и аэродромы. Методы измерений </w:t>
            </w:r>
            <w:r w:rsidRPr="00C54BB2">
              <w:rPr>
                <w:rFonts w:ascii="Times New Roman" w:hAnsi="Times New Roman" w:cs="Times New Roman"/>
                <w:sz w:val="24"/>
                <w:szCs w:val="24"/>
              </w:rPr>
              <w:lastRenderedPageBreak/>
              <w:t>неровностей оснований и покрытий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67.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30413-96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Дороги автомобильные. Метод определения коэффициента сцепления колеса автомобиля с дорожным покрытием</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30416-96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Грунты. Лабораторные испытания. Общие положения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69.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30491-97</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Смеси органоминеральные и грунты, укрепленные органическими вяжущими, для дорожного и аэродромного строительства.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30515-97</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Цементы. Общие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30693-2000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Мастики кровельные и гидроизоляционные. Общие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31015-2002</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Смеси асфальтобетонные и асфальтобетон щебеночно-мастичные</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50597-93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Автомобильные дороги и улицы. Требования к эксплуатационному состоянию, допустимому по условиям обеспечения безопасности дорожного движения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50970-2011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Технические средства организации дорожного движения. Столбики сигнальные дорожные. Общие технические требования. Правила применения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50971-2011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Технические средства организации дорожного движения. Световозвращатели дорожные. Общие технические требования. Правила применения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51256-99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Технические средства организации дорожного движения. Разметка дорожная. Типы и основные параметры. Общие технические требования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51582-2000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Технические средства организации дорожного движения. Знаки дорожные «Пункт контроля международных автомобильных перевозок» и «Пост дорожно-патрульной службы». Общие технические требования, правила применения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52056-2003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Вяжущие полимерно-битумные дорожные на основе блоксополимеров типа стирол-бутадин-стирол.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79.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52128-2003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Эмульсии битумные дорожные.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52129-2003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Порошок минеральный для асфальтобетонных и органоминеральных смесей. Технические условия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81.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52282-2004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Технические средства организации дорожного движения. Светофоры дорожные. Типы и основные параметры. Общие технические требования. Методы испытаний.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52398-2005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Классификация автомобильных дорог. Основные параметры и требования.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Р 52399-2005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Геометрические параметры автомобильных дорог.</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ГОСТ 52289-2004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СНиП 2.05.02-85*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Автомобильные дороги.</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СНиП III-10-75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Благоустройство территорий.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СНиП 3.01.03-84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Геодезические работы в строительстве.</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СНиП 3.06.03-85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Автомобильные дороги.</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89.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СНиП 11-02-96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Инженерные изыскания для строительства. Основные положения.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СНиП 12-03-2001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Безопасность труда в строительстве. Часть 1. Общие требования.</w:t>
            </w:r>
          </w:p>
        </w:tc>
      </w:tr>
      <w:tr w:rsidR="00C54BB2" w:rsidRPr="00C54BB2" w:rsidTr="00A41E41">
        <w:trPr>
          <w:trHeight w:val="70"/>
        </w:trPr>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СНиП 12-04-2002</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Безопасность труда в строительстве. Часть II. Строительное производство.</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СНиП 23-01-99*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Строительная климатология.</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СНиП 32-04-97</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Тоннели железнодорожные и автодорожные.</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СП 22.13330.2011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Основания зданий и сооружений. Актуализированная редакция СНиП 2.02.01-83*</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СП 24.13330.2011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Свайные фундаменты. Актуализированная редакция СНиП 2.02.03-85</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СП 35.13330.2011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Мосты и трубы. Актуализированная редакция СНиП 2.05.03-84*</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СП 48.13330.2011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Организация строительства. Актуализированная редакция СНиП 12-01-2004</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СП 45.13330.2012</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Земляные сооружения, основания и фундаменты. Актуализированная редакция СНиП 3.02.01-87</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99.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СП 46.13330.2011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Мосты и трубы. Актуализированная редакция СНиП </w:t>
            </w:r>
            <w:r w:rsidRPr="00C54BB2">
              <w:rPr>
                <w:rFonts w:ascii="Times New Roman" w:hAnsi="Times New Roman" w:cs="Times New Roman"/>
                <w:sz w:val="24"/>
                <w:szCs w:val="24"/>
              </w:rPr>
              <w:lastRenderedPageBreak/>
              <w:t>3.06.04-91</w:t>
            </w:r>
          </w:p>
        </w:tc>
      </w:tr>
      <w:tr w:rsidR="00C54BB2" w:rsidRPr="00C54BB2" w:rsidTr="00A41E41">
        <w:trPr>
          <w:trHeight w:val="815"/>
        </w:trPr>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100.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ВСН 5-81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Инструкция по разбивочным работам при строительстве, реконструкции и капитальном ремонте автомобильных дорог и искусственных сооружений.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ВСН 7-89</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Указания по строительству, ремонту и содержанию гравийных покрытий.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xml:space="preserve">ВСН 19-89 </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Правила приемки работ при строительстве и ремонте автомобильных дорог.</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ВСН 25 – 86</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Указания по обеспечению безопасности дорожного движения на автомобильных дорогах</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104.</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ВСН 32-81</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Инструкция по устройству гидроизоляции конструкций мостов и труб на железобетонных, автомобильных и городских дорогах.</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105.</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ВСН 37-84</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Инструкция по организации движения и ограждению мест производства дорожных работ.</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106.</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ВСН 123-77</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Инструкция по устройству покрытий и оснований из щебеночных, гравийных и песчаных материалов, обработанных органическими вяжущими.</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107.</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ВСН 139-80*</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Инструкция по строительству цементобетонных покрытий автомобильных дорог.</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108.</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ВСН 165-85</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Устройство свайных фундаментов мостов (из буровых свай).</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109.</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ОДН 218.3.039-2003</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Укрепление обочин автомобильных дорог</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110.</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ОДН 218.5.016-2002</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Показатели и нормы экологической безопасности автомобильной дороги</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111.</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Приказ Минтранса России от 27.12.1991г.</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Правила охраны труда при строительстве, ремонте и содержании автомобильных дорог.</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112.</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Приказ Минтрансстроя СССР от 17.01.1980г.</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Руководство по сооружению земляного полотна автомобильных дорог</w:t>
            </w:r>
          </w:p>
        </w:tc>
      </w:tr>
      <w:tr w:rsidR="00C54BB2" w:rsidRPr="00C54BB2" w:rsidTr="00A41E41">
        <w:tc>
          <w:tcPr>
            <w:tcW w:w="72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113.</w:t>
            </w:r>
          </w:p>
        </w:tc>
        <w:tc>
          <w:tcPr>
            <w:tcW w:w="306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Приказ МТ и ДХ НСО от 22.10.2010г. № 48</w:t>
            </w:r>
          </w:p>
        </w:tc>
        <w:tc>
          <w:tcPr>
            <w:tcW w:w="6480" w:type="dxa"/>
            <w:tcBorders>
              <w:top w:val="single" w:sz="4" w:space="0" w:color="auto"/>
              <w:left w:val="single" w:sz="4" w:space="0" w:color="auto"/>
              <w:bottom w:val="single" w:sz="4" w:space="0" w:color="auto"/>
              <w:right w:val="single" w:sz="4" w:space="0" w:color="auto"/>
            </w:tcBorders>
            <w:vAlign w:val="center"/>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Об утверждении Правил приемки в эксплуатацию законченных строительством, реконструкцией, капитальным ремонтом, ремонтом автомобильных дорог Новосибирской области регионального или межмуниципального значения и их участков (пусковых комплексов) и сооружений на них.</w:t>
            </w:r>
          </w:p>
        </w:tc>
      </w:tr>
    </w:tbl>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lastRenderedPageBreak/>
        <w:t>Примечание: методы испытания и контроля материалов изложены в соответствующих ГОСТ и технических условиях.</w:t>
      </w:r>
    </w:p>
    <w:p w:rsidR="00C54BB2" w:rsidRPr="00C54BB2" w:rsidRDefault="00C54BB2" w:rsidP="00C54BB2">
      <w:pPr>
        <w:rPr>
          <w:rFonts w:ascii="Times New Roman" w:hAnsi="Times New Roman" w:cs="Times New Roman"/>
          <w:sz w:val="24"/>
          <w:szCs w:val="24"/>
        </w:rPr>
      </w:pPr>
    </w:p>
    <w:tbl>
      <w:tblPr>
        <w:tblW w:w="9540" w:type="dxa"/>
        <w:jc w:val="center"/>
        <w:tblLook w:val="0000"/>
      </w:tblPr>
      <w:tblGrid>
        <w:gridCol w:w="4860"/>
        <w:gridCol w:w="4680"/>
      </w:tblGrid>
      <w:tr w:rsidR="00C54BB2" w:rsidRPr="00C54BB2" w:rsidTr="00A41E41">
        <w:trPr>
          <w:jc w:val="center"/>
        </w:trPr>
        <w:tc>
          <w:tcPr>
            <w:tcW w:w="4860"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ЗАКАЗЧИК: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Начальник ГКУ НСО ТУАД</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  К.Г. Громенко</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 П.</w:t>
            </w:r>
          </w:p>
        </w:tc>
        <w:tc>
          <w:tcPr>
            <w:tcW w:w="4680" w:type="dxa"/>
          </w:tcPr>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ПОДРЯДЧИК:</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Генеральный директор ОАО «Сибмост»</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___________________ В.А. Кошкин</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М.П.</w:t>
            </w:r>
          </w:p>
        </w:tc>
      </w:tr>
    </w:tbl>
    <w:p w:rsidR="00C54BB2" w:rsidRPr="00C54BB2" w:rsidRDefault="00C54BB2" w:rsidP="00C54BB2">
      <w:pPr>
        <w:rPr>
          <w:rFonts w:ascii="Times New Roman" w:hAnsi="Times New Roman" w:cs="Times New Roman"/>
          <w:sz w:val="24"/>
          <w:szCs w:val="24"/>
        </w:rPr>
        <w:sectPr w:rsidR="00C54BB2" w:rsidRPr="00C54BB2">
          <w:pgSz w:w="11906" w:h="16838"/>
          <w:pgMar w:top="567" w:right="567" w:bottom="567" w:left="1134" w:header="0" w:footer="0" w:gutter="0"/>
          <w:cols w:space="720"/>
        </w:sectPr>
      </w:pPr>
    </w:p>
    <w:tbl>
      <w:tblPr>
        <w:tblpPr w:leftFromText="180" w:rightFromText="180" w:vertAnchor="text" w:horzAnchor="page" w:tblpX="1" w:tblpY="264"/>
        <w:tblW w:w="11113" w:type="dxa"/>
        <w:tblLook w:val="04A0"/>
      </w:tblPr>
      <w:tblGrid>
        <w:gridCol w:w="1064"/>
        <w:gridCol w:w="1073"/>
        <w:gridCol w:w="3031"/>
        <w:gridCol w:w="725"/>
        <w:gridCol w:w="1728"/>
        <w:gridCol w:w="1298"/>
        <w:gridCol w:w="1292"/>
        <w:gridCol w:w="902"/>
      </w:tblGrid>
      <w:tr w:rsidR="00BD60E7" w:rsidRPr="00C54BB2" w:rsidTr="00BD60E7">
        <w:trPr>
          <w:trHeight w:val="315"/>
        </w:trPr>
        <w:tc>
          <w:tcPr>
            <w:tcW w:w="2137" w:type="dxa"/>
            <w:gridSpan w:val="2"/>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lastRenderedPageBreak/>
              <w:t>Заказчик:</w:t>
            </w:r>
          </w:p>
        </w:tc>
        <w:tc>
          <w:tcPr>
            <w:tcW w:w="8976" w:type="dxa"/>
            <w:gridSpan w:val="6"/>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_________________________________________________________________________</w:t>
            </w:r>
          </w:p>
        </w:tc>
      </w:tr>
      <w:tr w:rsidR="00BD60E7" w:rsidRPr="00C54BB2" w:rsidTr="00BD60E7">
        <w:trPr>
          <w:trHeight w:val="315"/>
        </w:trPr>
        <w:tc>
          <w:tcPr>
            <w:tcW w:w="2137" w:type="dxa"/>
            <w:gridSpan w:val="2"/>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Подрядчик:</w:t>
            </w:r>
          </w:p>
        </w:tc>
        <w:tc>
          <w:tcPr>
            <w:tcW w:w="8976" w:type="dxa"/>
            <w:gridSpan w:val="6"/>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_________________________________________________________________________</w:t>
            </w:r>
          </w:p>
        </w:tc>
      </w:tr>
      <w:tr w:rsidR="00BD60E7" w:rsidRPr="00C54BB2" w:rsidTr="00BD60E7">
        <w:trPr>
          <w:trHeight w:val="70"/>
        </w:trPr>
        <w:tc>
          <w:tcPr>
            <w:tcW w:w="2137" w:type="dxa"/>
            <w:gridSpan w:val="2"/>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Стройка:</w:t>
            </w:r>
          </w:p>
        </w:tc>
        <w:tc>
          <w:tcPr>
            <w:tcW w:w="8976" w:type="dxa"/>
            <w:gridSpan w:val="6"/>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_________________________________________________________________________</w:t>
            </w:r>
          </w:p>
        </w:tc>
      </w:tr>
      <w:tr w:rsidR="00BD60E7" w:rsidRPr="00C54BB2" w:rsidTr="00BD60E7">
        <w:trPr>
          <w:trHeight w:val="70"/>
        </w:trPr>
        <w:tc>
          <w:tcPr>
            <w:tcW w:w="2137" w:type="dxa"/>
            <w:gridSpan w:val="2"/>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Объект:</w:t>
            </w:r>
          </w:p>
        </w:tc>
        <w:tc>
          <w:tcPr>
            <w:tcW w:w="8976" w:type="dxa"/>
            <w:gridSpan w:val="6"/>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_________________________________________________________________________</w:t>
            </w:r>
          </w:p>
        </w:tc>
      </w:tr>
      <w:tr w:rsidR="00BD60E7" w:rsidRPr="00C54BB2" w:rsidTr="00BD60E7">
        <w:trPr>
          <w:trHeight w:val="31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5043" w:type="dxa"/>
            <w:gridSpan w:val="4"/>
            <w:tcBorders>
              <w:top w:val="nil"/>
              <w:left w:val="nil"/>
              <w:bottom w:val="nil"/>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Договор подряда (контракт) номер</w:t>
            </w:r>
          </w:p>
        </w:tc>
        <w:tc>
          <w:tcPr>
            <w:tcW w:w="902" w:type="dxa"/>
            <w:tcBorders>
              <w:top w:val="single" w:sz="4" w:space="0" w:color="auto"/>
              <w:left w:val="single" w:sz="4" w:space="0" w:color="auto"/>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725" w:type="dxa"/>
            <w:vAlign w:val="center"/>
          </w:tcPr>
          <w:p w:rsidR="00BD60E7" w:rsidRPr="00C54BB2" w:rsidRDefault="00BD60E7" w:rsidP="00BD60E7">
            <w:pPr>
              <w:rPr>
                <w:rFonts w:ascii="Times New Roman" w:hAnsi="Times New Roman" w:cs="Times New Roman"/>
                <w:sz w:val="24"/>
                <w:szCs w:val="24"/>
              </w:rPr>
            </w:pPr>
          </w:p>
        </w:tc>
        <w:tc>
          <w:tcPr>
            <w:tcW w:w="1728" w:type="dxa"/>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xml:space="preserve">  </w:t>
            </w:r>
          </w:p>
        </w:tc>
        <w:tc>
          <w:tcPr>
            <w:tcW w:w="1298" w:type="dxa"/>
            <w:vAlign w:val="center"/>
          </w:tcPr>
          <w:p w:rsidR="00BD60E7" w:rsidRPr="00C54BB2" w:rsidRDefault="00BD60E7" w:rsidP="00BD60E7">
            <w:pPr>
              <w:rPr>
                <w:rFonts w:ascii="Times New Roman" w:hAnsi="Times New Roman" w:cs="Times New Roman"/>
                <w:sz w:val="24"/>
                <w:szCs w:val="24"/>
              </w:rPr>
            </w:pPr>
          </w:p>
        </w:tc>
        <w:tc>
          <w:tcPr>
            <w:tcW w:w="1292" w:type="dxa"/>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Дата</w:t>
            </w:r>
          </w:p>
        </w:tc>
        <w:tc>
          <w:tcPr>
            <w:tcW w:w="902" w:type="dxa"/>
            <w:tcBorders>
              <w:top w:val="single" w:sz="4" w:space="0" w:color="auto"/>
              <w:left w:val="single" w:sz="4" w:space="0" w:color="auto"/>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5043" w:type="dxa"/>
            <w:gridSpan w:val="4"/>
            <w:tcBorders>
              <w:top w:val="nil"/>
              <w:left w:val="nil"/>
              <w:bottom w:val="nil"/>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Соглашение  номер</w:t>
            </w:r>
          </w:p>
        </w:tc>
        <w:tc>
          <w:tcPr>
            <w:tcW w:w="902" w:type="dxa"/>
            <w:tcBorders>
              <w:top w:val="single" w:sz="4" w:space="0" w:color="auto"/>
              <w:left w:val="single" w:sz="4" w:space="0" w:color="auto"/>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725" w:type="dxa"/>
            <w:vAlign w:val="center"/>
          </w:tcPr>
          <w:p w:rsidR="00BD60E7" w:rsidRPr="00C54BB2" w:rsidRDefault="00BD60E7" w:rsidP="00BD60E7">
            <w:pPr>
              <w:rPr>
                <w:rFonts w:ascii="Times New Roman" w:hAnsi="Times New Roman" w:cs="Times New Roman"/>
                <w:sz w:val="24"/>
                <w:szCs w:val="24"/>
              </w:rPr>
            </w:pPr>
          </w:p>
        </w:tc>
        <w:tc>
          <w:tcPr>
            <w:tcW w:w="1728" w:type="dxa"/>
            <w:vAlign w:val="center"/>
          </w:tcPr>
          <w:p w:rsidR="00BD60E7" w:rsidRPr="00C54BB2" w:rsidRDefault="00BD60E7" w:rsidP="00BD60E7">
            <w:pPr>
              <w:rPr>
                <w:rFonts w:ascii="Times New Roman" w:hAnsi="Times New Roman" w:cs="Times New Roman"/>
                <w:sz w:val="24"/>
                <w:szCs w:val="24"/>
              </w:rPr>
            </w:pPr>
          </w:p>
        </w:tc>
        <w:tc>
          <w:tcPr>
            <w:tcW w:w="1298" w:type="dxa"/>
            <w:vAlign w:val="center"/>
          </w:tcPr>
          <w:p w:rsidR="00BD60E7" w:rsidRPr="00C54BB2" w:rsidRDefault="00BD60E7" w:rsidP="00BD60E7">
            <w:pPr>
              <w:rPr>
                <w:rFonts w:ascii="Times New Roman" w:hAnsi="Times New Roman" w:cs="Times New Roman"/>
                <w:sz w:val="24"/>
                <w:szCs w:val="24"/>
              </w:rPr>
            </w:pPr>
          </w:p>
        </w:tc>
        <w:tc>
          <w:tcPr>
            <w:tcW w:w="1292" w:type="dxa"/>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Дата</w:t>
            </w:r>
          </w:p>
        </w:tc>
        <w:tc>
          <w:tcPr>
            <w:tcW w:w="902" w:type="dxa"/>
            <w:tcBorders>
              <w:top w:val="single" w:sz="4" w:space="0" w:color="auto"/>
              <w:left w:val="single" w:sz="4" w:space="0" w:color="auto"/>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725" w:type="dxa"/>
            <w:vAlign w:val="center"/>
          </w:tcPr>
          <w:p w:rsidR="00BD60E7" w:rsidRPr="00C54BB2" w:rsidRDefault="00BD60E7" w:rsidP="00BD60E7">
            <w:pPr>
              <w:rPr>
                <w:rFonts w:ascii="Times New Roman" w:hAnsi="Times New Roman" w:cs="Times New Roman"/>
                <w:sz w:val="24"/>
                <w:szCs w:val="24"/>
              </w:rPr>
            </w:pPr>
          </w:p>
        </w:tc>
        <w:tc>
          <w:tcPr>
            <w:tcW w:w="1728" w:type="dxa"/>
            <w:vAlign w:val="center"/>
          </w:tcPr>
          <w:p w:rsidR="00BD60E7" w:rsidRPr="00C54BB2" w:rsidRDefault="00BD60E7" w:rsidP="00BD60E7">
            <w:pPr>
              <w:rPr>
                <w:rFonts w:ascii="Times New Roman" w:hAnsi="Times New Roman" w:cs="Times New Roman"/>
                <w:sz w:val="24"/>
                <w:szCs w:val="24"/>
              </w:rPr>
            </w:pPr>
          </w:p>
        </w:tc>
        <w:tc>
          <w:tcPr>
            <w:tcW w:w="2590" w:type="dxa"/>
            <w:gridSpan w:val="2"/>
            <w:vAlign w:val="center"/>
          </w:tcPr>
          <w:p w:rsidR="00BD60E7" w:rsidRPr="00C54BB2" w:rsidRDefault="00BD60E7" w:rsidP="00BD60E7">
            <w:pPr>
              <w:rPr>
                <w:rFonts w:ascii="Times New Roman" w:hAnsi="Times New Roman" w:cs="Times New Roman"/>
                <w:sz w:val="24"/>
                <w:szCs w:val="24"/>
              </w:rPr>
            </w:pPr>
          </w:p>
        </w:tc>
        <w:tc>
          <w:tcPr>
            <w:tcW w:w="902" w:type="dxa"/>
            <w:tcBorders>
              <w:top w:val="single" w:sz="4" w:space="0" w:color="auto"/>
              <w:left w:val="single" w:sz="4" w:space="0" w:color="auto"/>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2453" w:type="dxa"/>
            <w:gridSpan w:val="2"/>
            <w:tcBorders>
              <w:top w:val="single" w:sz="4" w:space="0" w:color="auto"/>
              <w:left w:val="single" w:sz="4" w:space="0" w:color="auto"/>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Номер документа</w:t>
            </w:r>
          </w:p>
        </w:tc>
        <w:tc>
          <w:tcPr>
            <w:tcW w:w="1298" w:type="dxa"/>
            <w:tcBorders>
              <w:top w:val="single" w:sz="4" w:space="0" w:color="auto"/>
              <w:left w:val="nil"/>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Дата</w:t>
            </w:r>
          </w:p>
        </w:tc>
        <w:tc>
          <w:tcPr>
            <w:tcW w:w="2194" w:type="dxa"/>
            <w:gridSpan w:val="2"/>
            <w:tcBorders>
              <w:top w:val="single" w:sz="4" w:space="0" w:color="auto"/>
              <w:left w:val="nil"/>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Отчетный период</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2453" w:type="dxa"/>
            <w:gridSpan w:val="2"/>
            <w:tcBorders>
              <w:top w:val="single" w:sz="4" w:space="0" w:color="auto"/>
              <w:left w:val="single" w:sz="4" w:space="0" w:color="auto"/>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1298" w:type="dxa"/>
            <w:tcBorders>
              <w:top w:val="nil"/>
              <w:left w:val="nil"/>
              <w:bottom w:val="single" w:sz="4"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2194" w:type="dxa"/>
            <w:gridSpan w:val="2"/>
            <w:tcBorders>
              <w:top w:val="single" w:sz="4" w:space="0" w:color="auto"/>
              <w:left w:val="nil"/>
              <w:bottom w:val="single" w:sz="4" w:space="0" w:color="auto"/>
              <w:right w:val="single" w:sz="4"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725" w:type="dxa"/>
            <w:vAlign w:val="center"/>
          </w:tcPr>
          <w:p w:rsidR="00BD60E7" w:rsidRPr="00C54BB2" w:rsidRDefault="00BD60E7" w:rsidP="00BD60E7">
            <w:pPr>
              <w:rPr>
                <w:rFonts w:ascii="Times New Roman" w:hAnsi="Times New Roman" w:cs="Times New Roman"/>
                <w:sz w:val="24"/>
                <w:szCs w:val="24"/>
              </w:rPr>
            </w:pPr>
          </w:p>
        </w:tc>
        <w:tc>
          <w:tcPr>
            <w:tcW w:w="1728" w:type="dxa"/>
            <w:vAlign w:val="center"/>
          </w:tcPr>
          <w:p w:rsidR="00BD60E7" w:rsidRPr="00C54BB2" w:rsidRDefault="00BD60E7" w:rsidP="00BD60E7">
            <w:pPr>
              <w:rPr>
                <w:rFonts w:ascii="Times New Roman" w:hAnsi="Times New Roman" w:cs="Times New Roman"/>
                <w:sz w:val="24"/>
                <w:szCs w:val="24"/>
              </w:rPr>
            </w:pPr>
          </w:p>
        </w:tc>
        <w:tc>
          <w:tcPr>
            <w:tcW w:w="1298" w:type="dxa"/>
            <w:vAlign w:val="center"/>
          </w:tcPr>
          <w:p w:rsidR="00BD60E7" w:rsidRPr="00C54BB2" w:rsidRDefault="00BD60E7" w:rsidP="00BD60E7">
            <w:pPr>
              <w:rPr>
                <w:rFonts w:ascii="Times New Roman" w:hAnsi="Times New Roman" w:cs="Times New Roman"/>
                <w:sz w:val="24"/>
                <w:szCs w:val="24"/>
              </w:rPr>
            </w:pPr>
          </w:p>
        </w:tc>
        <w:tc>
          <w:tcPr>
            <w:tcW w:w="1292" w:type="dxa"/>
            <w:vAlign w:val="center"/>
          </w:tcPr>
          <w:p w:rsidR="00BD60E7" w:rsidRPr="00C54BB2" w:rsidRDefault="00BD60E7" w:rsidP="00BD60E7">
            <w:pPr>
              <w:rPr>
                <w:rFonts w:ascii="Times New Roman" w:hAnsi="Times New Roman" w:cs="Times New Roman"/>
                <w:sz w:val="24"/>
                <w:szCs w:val="24"/>
              </w:rPr>
            </w:pPr>
          </w:p>
        </w:tc>
        <w:tc>
          <w:tcPr>
            <w:tcW w:w="902" w:type="dxa"/>
            <w:vAlign w:val="center"/>
          </w:tcPr>
          <w:p w:rsidR="00BD60E7" w:rsidRPr="00C54BB2" w:rsidRDefault="00BD60E7" w:rsidP="00BD60E7">
            <w:pPr>
              <w:rPr>
                <w:rFonts w:ascii="Times New Roman" w:hAnsi="Times New Roman" w:cs="Times New Roman"/>
                <w:sz w:val="24"/>
                <w:szCs w:val="24"/>
              </w:rPr>
            </w:pPr>
          </w:p>
        </w:tc>
      </w:tr>
      <w:tr w:rsidR="00BD60E7" w:rsidRPr="00C54BB2" w:rsidTr="00BD60E7">
        <w:trPr>
          <w:trHeight w:val="285"/>
        </w:trPr>
        <w:tc>
          <w:tcPr>
            <w:tcW w:w="11113" w:type="dxa"/>
            <w:gridSpan w:val="8"/>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А  К  Т</w:t>
            </w:r>
          </w:p>
        </w:tc>
      </w:tr>
      <w:tr w:rsidR="00BD60E7" w:rsidRPr="00C54BB2" w:rsidTr="00BD60E7">
        <w:trPr>
          <w:trHeight w:val="285"/>
        </w:trPr>
        <w:tc>
          <w:tcPr>
            <w:tcW w:w="11113" w:type="dxa"/>
            <w:gridSpan w:val="8"/>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ОСВИДЕТЕЛЬСТВОВАНИЯ ВЫПОЛНЕННЫХ РАБОТ</w:t>
            </w:r>
          </w:p>
        </w:tc>
      </w:tr>
      <w:tr w:rsidR="00BD60E7" w:rsidRPr="00C54BB2" w:rsidTr="00BD60E7">
        <w:trPr>
          <w:trHeight w:val="270"/>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725" w:type="dxa"/>
            <w:vAlign w:val="center"/>
          </w:tcPr>
          <w:p w:rsidR="00BD60E7" w:rsidRPr="00C54BB2" w:rsidRDefault="00BD60E7" w:rsidP="00BD60E7">
            <w:pPr>
              <w:rPr>
                <w:rFonts w:ascii="Times New Roman" w:hAnsi="Times New Roman" w:cs="Times New Roman"/>
                <w:sz w:val="24"/>
                <w:szCs w:val="24"/>
              </w:rPr>
            </w:pPr>
          </w:p>
        </w:tc>
        <w:tc>
          <w:tcPr>
            <w:tcW w:w="1728" w:type="dxa"/>
            <w:vAlign w:val="center"/>
          </w:tcPr>
          <w:p w:rsidR="00BD60E7" w:rsidRPr="00C54BB2" w:rsidRDefault="00BD60E7" w:rsidP="00BD60E7">
            <w:pPr>
              <w:rPr>
                <w:rFonts w:ascii="Times New Roman" w:hAnsi="Times New Roman" w:cs="Times New Roman"/>
                <w:sz w:val="24"/>
                <w:szCs w:val="24"/>
              </w:rPr>
            </w:pPr>
          </w:p>
        </w:tc>
        <w:tc>
          <w:tcPr>
            <w:tcW w:w="1298" w:type="dxa"/>
            <w:vAlign w:val="center"/>
          </w:tcPr>
          <w:p w:rsidR="00BD60E7" w:rsidRPr="00C54BB2" w:rsidRDefault="00BD60E7" w:rsidP="00BD60E7">
            <w:pPr>
              <w:rPr>
                <w:rFonts w:ascii="Times New Roman" w:hAnsi="Times New Roman" w:cs="Times New Roman"/>
                <w:sz w:val="24"/>
                <w:szCs w:val="24"/>
              </w:rPr>
            </w:pPr>
          </w:p>
        </w:tc>
        <w:tc>
          <w:tcPr>
            <w:tcW w:w="1292" w:type="dxa"/>
            <w:vAlign w:val="center"/>
          </w:tcPr>
          <w:p w:rsidR="00BD60E7" w:rsidRPr="00C54BB2" w:rsidRDefault="00BD60E7" w:rsidP="00BD60E7">
            <w:pPr>
              <w:rPr>
                <w:rFonts w:ascii="Times New Roman" w:hAnsi="Times New Roman" w:cs="Times New Roman"/>
                <w:sz w:val="24"/>
                <w:szCs w:val="24"/>
              </w:rPr>
            </w:pPr>
          </w:p>
        </w:tc>
        <w:tc>
          <w:tcPr>
            <w:tcW w:w="902" w:type="dxa"/>
            <w:vAlign w:val="center"/>
          </w:tcPr>
          <w:p w:rsidR="00BD60E7" w:rsidRPr="00C54BB2" w:rsidRDefault="00BD60E7" w:rsidP="00BD60E7">
            <w:pPr>
              <w:rPr>
                <w:rFonts w:ascii="Times New Roman" w:hAnsi="Times New Roman" w:cs="Times New Roman"/>
                <w:sz w:val="24"/>
                <w:szCs w:val="24"/>
              </w:rPr>
            </w:pPr>
          </w:p>
        </w:tc>
      </w:tr>
      <w:tr w:rsidR="00BD60E7" w:rsidRPr="00C54BB2" w:rsidTr="00BD60E7">
        <w:trPr>
          <w:trHeight w:val="270"/>
        </w:trPr>
        <w:tc>
          <w:tcPr>
            <w:tcW w:w="2137" w:type="dxa"/>
            <w:gridSpan w:val="2"/>
            <w:tcBorders>
              <w:top w:val="double" w:sz="6" w:space="0" w:color="auto"/>
              <w:left w:val="double" w:sz="6" w:space="0" w:color="auto"/>
              <w:bottom w:val="single" w:sz="4" w:space="0" w:color="auto"/>
              <w:right w:val="single" w:sz="8"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Номер</w:t>
            </w:r>
          </w:p>
        </w:tc>
        <w:tc>
          <w:tcPr>
            <w:tcW w:w="3756" w:type="dxa"/>
            <w:gridSpan w:val="2"/>
            <w:vMerge w:val="restart"/>
            <w:tcBorders>
              <w:top w:val="double" w:sz="6" w:space="0" w:color="auto"/>
              <w:left w:val="single" w:sz="8" w:space="0" w:color="auto"/>
              <w:bottom w:val="single" w:sz="8" w:space="0" w:color="auto"/>
              <w:right w:val="single" w:sz="8"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Наименование работ</w:t>
            </w:r>
          </w:p>
        </w:tc>
        <w:tc>
          <w:tcPr>
            <w:tcW w:w="1728" w:type="dxa"/>
            <w:vMerge w:val="restart"/>
            <w:tcBorders>
              <w:top w:val="double" w:sz="6" w:space="0" w:color="auto"/>
              <w:left w:val="single" w:sz="8" w:space="0" w:color="auto"/>
              <w:bottom w:val="single" w:sz="8" w:space="0" w:color="000000"/>
              <w:right w:val="single" w:sz="8"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Единица  измер.</w:t>
            </w:r>
          </w:p>
        </w:tc>
        <w:tc>
          <w:tcPr>
            <w:tcW w:w="3492" w:type="dxa"/>
            <w:gridSpan w:val="3"/>
            <w:tcBorders>
              <w:top w:val="double" w:sz="6" w:space="0" w:color="auto"/>
              <w:left w:val="nil"/>
              <w:bottom w:val="nil"/>
              <w:right w:val="double" w:sz="6"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Выполнено работ</w:t>
            </w:r>
          </w:p>
        </w:tc>
      </w:tr>
      <w:tr w:rsidR="00BD60E7" w:rsidRPr="00C54BB2" w:rsidTr="00BD60E7">
        <w:trPr>
          <w:trHeight w:val="735"/>
        </w:trPr>
        <w:tc>
          <w:tcPr>
            <w:tcW w:w="1064" w:type="dxa"/>
            <w:tcBorders>
              <w:top w:val="nil"/>
              <w:left w:val="double" w:sz="6" w:space="0" w:color="auto"/>
              <w:bottom w:val="single" w:sz="8"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по  порядку</w:t>
            </w:r>
          </w:p>
        </w:tc>
        <w:tc>
          <w:tcPr>
            <w:tcW w:w="1073" w:type="dxa"/>
            <w:tcBorders>
              <w:top w:val="nil"/>
              <w:left w:val="nil"/>
              <w:bottom w:val="single" w:sz="8" w:space="0" w:color="auto"/>
              <w:right w:val="single" w:sz="8"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позиции по смете</w:t>
            </w:r>
          </w:p>
        </w:tc>
        <w:tc>
          <w:tcPr>
            <w:tcW w:w="0" w:type="auto"/>
            <w:gridSpan w:val="2"/>
            <w:vMerge/>
            <w:tcBorders>
              <w:top w:val="nil"/>
              <w:left w:val="nil"/>
              <w:bottom w:val="single" w:sz="8" w:space="0" w:color="auto"/>
              <w:right w:val="single" w:sz="8" w:space="0" w:color="auto"/>
            </w:tcBorders>
            <w:vAlign w:val="center"/>
          </w:tcPr>
          <w:p w:rsidR="00BD60E7" w:rsidRPr="00C54BB2" w:rsidRDefault="00BD60E7" w:rsidP="00BD60E7">
            <w:pPr>
              <w:rPr>
                <w:rFonts w:ascii="Times New Roman" w:hAnsi="Times New Roman" w:cs="Times New Roman"/>
                <w:sz w:val="24"/>
                <w:szCs w:val="24"/>
              </w:rPr>
            </w:pPr>
          </w:p>
        </w:tc>
        <w:tc>
          <w:tcPr>
            <w:tcW w:w="0" w:type="auto"/>
            <w:vMerge/>
            <w:tcBorders>
              <w:top w:val="double" w:sz="6" w:space="0" w:color="auto"/>
              <w:left w:val="single" w:sz="8" w:space="0" w:color="auto"/>
              <w:bottom w:val="single" w:sz="8" w:space="0" w:color="000000"/>
              <w:right w:val="single" w:sz="8" w:space="0" w:color="auto"/>
            </w:tcBorders>
            <w:vAlign w:val="center"/>
          </w:tcPr>
          <w:p w:rsidR="00BD60E7" w:rsidRPr="00C54BB2" w:rsidRDefault="00BD60E7" w:rsidP="00BD60E7">
            <w:pPr>
              <w:rPr>
                <w:rFonts w:ascii="Times New Roman" w:hAnsi="Times New Roman" w:cs="Times New Roman"/>
                <w:sz w:val="24"/>
                <w:szCs w:val="24"/>
              </w:rPr>
            </w:pPr>
          </w:p>
        </w:tc>
        <w:tc>
          <w:tcPr>
            <w:tcW w:w="3492" w:type="dxa"/>
            <w:gridSpan w:val="3"/>
            <w:tcBorders>
              <w:top w:val="single" w:sz="4" w:space="0" w:color="auto"/>
              <w:left w:val="nil"/>
              <w:bottom w:val="single" w:sz="8" w:space="0" w:color="auto"/>
              <w:right w:val="double" w:sz="6"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кол-во</w:t>
            </w:r>
          </w:p>
        </w:tc>
      </w:tr>
      <w:tr w:rsidR="00BD60E7" w:rsidRPr="00C54BB2" w:rsidTr="00BD60E7">
        <w:trPr>
          <w:trHeight w:val="270"/>
        </w:trPr>
        <w:tc>
          <w:tcPr>
            <w:tcW w:w="1064" w:type="dxa"/>
            <w:tcBorders>
              <w:top w:val="nil"/>
              <w:left w:val="double" w:sz="6" w:space="0" w:color="auto"/>
              <w:bottom w:val="single" w:sz="8"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1</w:t>
            </w:r>
          </w:p>
        </w:tc>
        <w:tc>
          <w:tcPr>
            <w:tcW w:w="1073" w:type="dxa"/>
            <w:tcBorders>
              <w:top w:val="nil"/>
              <w:left w:val="nil"/>
              <w:bottom w:val="single" w:sz="8" w:space="0" w:color="auto"/>
              <w:right w:val="single" w:sz="8"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2</w:t>
            </w:r>
          </w:p>
        </w:tc>
        <w:tc>
          <w:tcPr>
            <w:tcW w:w="3756" w:type="dxa"/>
            <w:gridSpan w:val="2"/>
            <w:tcBorders>
              <w:top w:val="single" w:sz="8" w:space="0" w:color="auto"/>
              <w:left w:val="nil"/>
              <w:bottom w:val="single" w:sz="8" w:space="0" w:color="auto"/>
              <w:right w:val="single" w:sz="8"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3</w:t>
            </w:r>
          </w:p>
        </w:tc>
        <w:tc>
          <w:tcPr>
            <w:tcW w:w="1728" w:type="dxa"/>
            <w:tcBorders>
              <w:top w:val="nil"/>
              <w:left w:val="nil"/>
              <w:bottom w:val="single" w:sz="8" w:space="0" w:color="auto"/>
              <w:right w:val="single" w:sz="8"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4</w:t>
            </w:r>
          </w:p>
        </w:tc>
        <w:tc>
          <w:tcPr>
            <w:tcW w:w="3492" w:type="dxa"/>
            <w:gridSpan w:val="3"/>
            <w:tcBorders>
              <w:top w:val="single" w:sz="8" w:space="0" w:color="auto"/>
              <w:left w:val="nil"/>
              <w:bottom w:val="single" w:sz="8" w:space="0" w:color="auto"/>
              <w:right w:val="double" w:sz="6"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5</w:t>
            </w:r>
          </w:p>
        </w:tc>
      </w:tr>
      <w:tr w:rsidR="00BD60E7" w:rsidRPr="00C54BB2" w:rsidTr="00BD60E7">
        <w:trPr>
          <w:trHeight w:val="255"/>
        </w:trPr>
        <w:tc>
          <w:tcPr>
            <w:tcW w:w="1064" w:type="dxa"/>
            <w:tcBorders>
              <w:top w:val="single" w:sz="4" w:space="0" w:color="auto"/>
              <w:left w:val="double" w:sz="6" w:space="0" w:color="auto"/>
              <w:bottom w:val="nil"/>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1073" w:type="dxa"/>
            <w:tcBorders>
              <w:top w:val="single" w:sz="4" w:space="0" w:color="auto"/>
              <w:left w:val="nil"/>
              <w:bottom w:val="nil"/>
              <w:right w:val="single" w:sz="8"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756" w:type="dxa"/>
            <w:gridSpan w:val="2"/>
            <w:tcBorders>
              <w:top w:val="single" w:sz="4" w:space="0" w:color="auto"/>
              <w:left w:val="nil"/>
              <w:bottom w:val="single" w:sz="4" w:space="0" w:color="auto"/>
              <w:right w:val="single" w:sz="8"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1728" w:type="dxa"/>
            <w:tcBorders>
              <w:top w:val="nil"/>
              <w:left w:val="nil"/>
              <w:bottom w:val="single" w:sz="4" w:space="0" w:color="auto"/>
              <w:right w:val="single" w:sz="8" w:space="0" w:color="auto"/>
            </w:tcBorders>
            <w:vAlign w:val="bottom"/>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492" w:type="dxa"/>
            <w:gridSpan w:val="3"/>
            <w:tcBorders>
              <w:top w:val="single" w:sz="8" w:space="0" w:color="auto"/>
              <w:left w:val="nil"/>
              <w:bottom w:val="single" w:sz="4" w:space="0" w:color="auto"/>
              <w:right w:val="double" w:sz="6" w:space="0" w:color="000000"/>
            </w:tcBorders>
            <w:vAlign w:val="bottom"/>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tcBorders>
              <w:top w:val="single" w:sz="4" w:space="0" w:color="auto"/>
              <w:left w:val="double" w:sz="6" w:space="0" w:color="auto"/>
              <w:bottom w:val="nil"/>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1073" w:type="dxa"/>
            <w:tcBorders>
              <w:top w:val="single" w:sz="4" w:space="0" w:color="auto"/>
              <w:left w:val="nil"/>
              <w:bottom w:val="nil"/>
              <w:right w:val="single" w:sz="8"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756" w:type="dxa"/>
            <w:gridSpan w:val="2"/>
            <w:tcBorders>
              <w:top w:val="single" w:sz="4" w:space="0" w:color="auto"/>
              <w:left w:val="nil"/>
              <w:bottom w:val="single" w:sz="4" w:space="0" w:color="auto"/>
              <w:right w:val="single" w:sz="8"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1728" w:type="dxa"/>
            <w:tcBorders>
              <w:top w:val="nil"/>
              <w:left w:val="nil"/>
              <w:bottom w:val="single" w:sz="4" w:space="0" w:color="auto"/>
              <w:right w:val="single" w:sz="8" w:space="0" w:color="auto"/>
            </w:tcBorders>
            <w:vAlign w:val="bottom"/>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492" w:type="dxa"/>
            <w:gridSpan w:val="3"/>
            <w:tcBorders>
              <w:top w:val="single" w:sz="4" w:space="0" w:color="auto"/>
              <w:left w:val="nil"/>
              <w:bottom w:val="single" w:sz="4" w:space="0" w:color="auto"/>
              <w:right w:val="double" w:sz="6" w:space="0" w:color="000000"/>
            </w:tcBorders>
            <w:vAlign w:val="bottom"/>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tcBorders>
              <w:top w:val="single" w:sz="4" w:space="0" w:color="auto"/>
              <w:left w:val="double" w:sz="6" w:space="0" w:color="auto"/>
              <w:bottom w:val="nil"/>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1073" w:type="dxa"/>
            <w:tcBorders>
              <w:top w:val="single" w:sz="4" w:space="0" w:color="auto"/>
              <w:left w:val="nil"/>
              <w:bottom w:val="nil"/>
              <w:right w:val="single" w:sz="8"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756" w:type="dxa"/>
            <w:gridSpan w:val="2"/>
            <w:tcBorders>
              <w:top w:val="single" w:sz="4" w:space="0" w:color="auto"/>
              <w:left w:val="nil"/>
              <w:bottom w:val="single" w:sz="4" w:space="0" w:color="auto"/>
              <w:right w:val="single" w:sz="8"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1728" w:type="dxa"/>
            <w:tcBorders>
              <w:top w:val="nil"/>
              <w:left w:val="nil"/>
              <w:bottom w:val="nil"/>
              <w:right w:val="single" w:sz="8" w:space="0" w:color="auto"/>
            </w:tcBorders>
            <w:vAlign w:val="bottom"/>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492" w:type="dxa"/>
            <w:gridSpan w:val="3"/>
            <w:tcBorders>
              <w:top w:val="single" w:sz="4" w:space="0" w:color="auto"/>
              <w:left w:val="nil"/>
              <w:bottom w:val="single" w:sz="4" w:space="0" w:color="auto"/>
              <w:right w:val="double" w:sz="6" w:space="0" w:color="000000"/>
            </w:tcBorders>
            <w:vAlign w:val="bottom"/>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330"/>
        </w:trPr>
        <w:tc>
          <w:tcPr>
            <w:tcW w:w="1064" w:type="dxa"/>
            <w:tcBorders>
              <w:top w:val="single" w:sz="4" w:space="0" w:color="auto"/>
              <w:left w:val="double" w:sz="6" w:space="0" w:color="auto"/>
              <w:bottom w:val="double" w:sz="6" w:space="0" w:color="auto"/>
              <w:right w:val="single" w:sz="4"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1073" w:type="dxa"/>
            <w:tcBorders>
              <w:top w:val="single" w:sz="4" w:space="0" w:color="auto"/>
              <w:left w:val="nil"/>
              <w:bottom w:val="double" w:sz="6" w:space="0" w:color="auto"/>
              <w:right w:val="single" w:sz="8" w:space="0" w:color="auto"/>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756" w:type="dxa"/>
            <w:gridSpan w:val="2"/>
            <w:tcBorders>
              <w:top w:val="single" w:sz="4" w:space="0" w:color="auto"/>
              <w:left w:val="nil"/>
              <w:bottom w:val="double" w:sz="6" w:space="0" w:color="auto"/>
              <w:right w:val="single" w:sz="8" w:space="0" w:color="000000"/>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1728" w:type="dxa"/>
            <w:tcBorders>
              <w:top w:val="single" w:sz="4" w:space="0" w:color="auto"/>
              <w:left w:val="nil"/>
              <w:bottom w:val="double" w:sz="6" w:space="0" w:color="auto"/>
              <w:right w:val="single" w:sz="8" w:space="0" w:color="auto"/>
            </w:tcBorders>
            <w:vAlign w:val="bottom"/>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492" w:type="dxa"/>
            <w:gridSpan w:val="3"/>
            <w:tcBorders>
              <w:top w:val="single" w:sz="4" w:space="0" w:color="auto"/>
              <w:left w:val="nil"/>
              <w:bottom w:val="double" w:sz="6" w:space="0" w:color="auto"/>
              <w:right w:val="double" w:sz="6" w:space="0" w:color="000000"/>
            </w:tcBorders>
            <w:vAlign w:val="bottom"/>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70"/>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725" w:type="dxa"/>
            <w:vAlign w:val="center"/>
          </w:tcPr>
          <w:p w:rsidR="00BD60E7" w:rsidRPr="00C54BB2" w:rsidRDefault="00BD60E7" w:rsidP="00BD60E7">
            <w:pPr>
              <w:rPr>
                <w:rFonts w:ascii="Times New Roman" w:hAnsi="Times New Roman" w:cs="Times New Roman"/>
                <w:sz w:val="24"/>
                <w:szCs w:val="24"/>
              </w:rPr>
            </w:pPr>
          </w:p>
        </w:tc>
        <w:tc>
          <w:tcPr>
            <w:tcW w:w="1728" w:type="dxa"/>
            <w:vAlign w:val="center"/>
          </w:tcPr>
          <w:p w:rsidR="00BD60E7" w:rsidRPr="00C54BB2" w:rsidRDefault="00BD60E7" w:rsidP="00BD60E7">
            <w:pPr>
              <w:rPr>
                <w:rFonts w:ascii="Times New Roman" w:hAnsi="Times New Roman" w:cs="Times New Roman"/>
                <w:sz w:val="24"/>
                <w:szCs w:val="24"/>
              </w:rPr>
            </w:pPr>
          </w:p>
        </w:tc>
        <w:tc>
          <w:tcPr>
            <w:tcW w:w="1298" w:type="dxa"/>
            <w:vAlign w:val="center"/>
          </w:tcPr>
          <w:p w:rsidR="00BD60E7" w:rsidRPr="00C54BB2" w:rsidRDefault="00BD60E7" w:rsidP="00BD60E7">
            <w:pPr>
              <w:rPr>
                <w:rFonts w:ascii="Times New Roman" w:hAnsi="Times New Roman" w:cs="Times New Roman"/>
                <w:sz w:val="24"/>
                <w:szCs w:val="24"/>
              </w:rPr>
            </w:pPr>
          </w:p>
        </w:tc>
        <w:tc>
          <w:tcPr>
            <w:tcW w:w="1292" w:type="dxa"/>
            <w:vAlign w:val="center"/>
          </w:tcPr>
          <w:p w:rsidR="00BD60E7" w:rsidRPr="00C54BB2" w:rsidRDefault="00BD60E7" w:rsidP="00BD60E7">
            <w:pPr>
              <w:rPr>
                <w:rFonts w:ascii="Times New Roman" w:hAnsi="Times New Roman" w:cs="Times New Roman"/>
                <w:sz w:val="24"/>
                <w:szCs w:val="24"/>
              </w:rPr>
            </w:pPr>
          </w:p>
        </w:tc>
        <w:tc>
          <w:tcPr>
            <w:tcW w:w="902" w:type="dxa"/>
            <w:vAlign w:val="center"/>
          </w:tcPr>
          <w:p w:rsidR="00BD60E7" w:rsidRPr="00C54BB2" w:rsidRDefault="00BD60E7" w:rsidP="00BD60E7">
            <w:pPr>
              <w:rPr>
                <w:rFonts w:ascii="Times New Roman" w:hAnsi="Times New Roman" w:cs="Times New Roman"/>
                <w:sz w:val="24"/>
                <w:szCs w:val="24"/>
              </w:rPr>
            </w:pPr>
          </w:p>
        </w:tc>
      </w:tr>
      <w:tr w:rsidR="00BD60E7" w:rsidRPr="00C54BB2" w:rsidTr="00BD60E7">
        <w:trPr>
          <w:trHeight w:val="495"/>
        </w:trPr>
        <w:tc>
          <w:tcPr>
            <w:tcW w:w="1064" w:type="dxa"/>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lastRenderedPageBreak/>
              <w:t>Сдал:</w:t>
            </w:r>
          </w:p>
        </w:tc>
        <w:tc>
          <w:tcPr>
            <w:tcW w:w="4104" w:type="dxa"/>
            <w:gridSpan w:val="2"/>
            <w:tcBorders>
              <w:top w:val="nil"/>
              <w:left w:val="nil"/>
              <w:bottom w:val="single" w:sz="4" w:space="0" w:color="auto"/>
              <w:right w:val="nil"/>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2453" w:type="dxa"/>
            <w:gridSpan w:val="2"/>
            <w:tcBorders>
              <w:top w:val="nil"/>
              <w:left w:val="nil"/>
              <w:bottom w:val="single" w:sz="4" w:space="0" w:color="auto"/>
              <w:right w:val="nil"/>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492" w:type="dxa"/>
            <w:gridSpan w:val="3"/>
            <w:tcBorders>
              <w:top w:val="nil"/>
              <w:left w:val="nil"/>
              <w:bottom w:val="single" w:sz="4" w:space="0" w:color="auto"/>
              <w:right w:val="nil"/>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должность</w:t>
            </w:r>
          </w:p>
        </w:tc>
        <w:tc>
          <w:tcPr>
            <w:tcW w:w="2453" w:type="dxa"/>
            <w:gridSpan w:val="2"/>
            <w:tcBorders>
              <w:top w:val="single" w:sz="4" w:space="0" w:color="auto"/>
              <w:left w:val="nil"/>
              <w:bottom w:val="nil"/>
              <w:right w:val="nil"/>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подпись</w:t>
            </w:r>
          </w:p>
        </w:tc>
        <w:tc>
          <w:tcPr>
            <w:tcW w:w="3492" w:type="dxa"/>
            <w:gridSpan w:val="3"/>
            <w:tcBorders>
              <w:top w:val="single" w:sz="4" w:space="0" w:color="auto"/>
              <w:left w:val="nil"/>
              <w:bottom w:val="nil"/>
              <w:right w:val="nil"/>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расшифровка</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725" w:type="dxa"/>
            <w:vAlign w:val="center"/>
          </w:tcPr>
          <w:p w:rsidR="00BD60E7" w:rsidRPr="00C54BB2" w:rsidRDefault="00BD60E7" w:rsidP="00BD60E7">
            <w:pPr>
              <w:rPr>
                <w:rFonts w:ascii="Times New Roman" w:hAnsi="Times New Roman" w:cs="Times New Roman"/>
                <w:sz w:val="24"/>
                <w:szCs w:val="24"/>
              </w:rPr>
            </w:pPr>
          </w:p>
        </w:tc>
        <w:tc>
          <w:tcPr>
            <w:tcW w:w="1728" w:type="dxa"/>
            <w:vAlign w:val="center"/>
          </w:tcPr>
          <w:p w:rsidR="00BD60E7" w:rsidRPr="00C54BB2" w:rsidRDefault="00BD60E7" w:rsidP="00BD60E7">
            <w:pPr>
              <w:rPr>
                <w:rFonts w:ascii="Times New Roman" w:hAnsi="Times New Roman" w:cs="Times New Roman"/>
                <w:sz w:val="24"/>
                <w:szCs w:val="24"/>
              </w:rPr>
            </w:pPr>
          </w:p>
        </w:tc>
        <w:tc>
          <w:tcPr>
            <w:tcW w:w="1298" w:type="dxa"/>
            <w:vAlign w:val="center"/>
          </w:tcPr>
          <w:p w:rsidR="00BD60E7" w:rsidRPr="00C54BB2" w:rsidRDefault="00BD60E7" w:rsidP="00BD60E7">
            <w:pPr>
              <w:rPr>
                <w:rFonts w:ascii="Times New Roman" w:hAnsi="Times New Roman" w:cs="Times New Roman"/>
                <w:sz w:val="24"/>
                <w:szCs w:val="24"/>
              </w:rPr>
            </w:pPr>
          </w:p>
        </w:tc>
        <w:tc>
          <w:tcPr>
            <w:tcW w:w="1292" w:type="dxa"/>
            <w:vAlign w:val="center"/>
          </w:tcPr>
          <w:p w:rsidR="00BD60E7" w:rsidRPr="00C54BB2" w:rsidRDefault="00BD60E7" w:rsidP="00BD60E7">
            <w:pPr>
              <w:rPr>
                <w:rFonts w:ascii="Times New Roman" w:hAnsi="Times New Roman" w:cs="Times New Roman"/>
                <w:sz w:val="24"/>
                <w:szCs w:val="24"/>
              </w:rPr>
            </w:pPr>
          </w:p>
        </w:tc>
        <w:tc>
          <w:tcPr>
            <w:tcW w:w="902" w:type="dxa"/>
            <w:vAlign w:val="center"/>
          </w:tcPr>
          <w:p w:rsidR="00BD60E7" w:rsidRPr="00C54BB2" w:rsidRDefault="00BD60E7" w:rsidP="00BD60E7">
            <w:pPr>
              <w:rPr>
                <w:rFonts w:ascii="Times New Roman" w:hAnsi="Times New Roman" w:cs="Times New Roman"/>
                <w:sz w:val="24"/>
                <w:szCs w:val="24"/>
              </w:rPr>
            </w:pP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М.П.</w:t>
            </w: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725" w:type="dxa"/>
            <w:vAlign w:val="center"/>
          </w:tcPr>
          <w:p w:rsidR="00BD60E7" w:rsidRPr="00C54BB2" w:rsidRDefault="00BD60E7" w:rsidP="00BD60E7">
            <w:pPr>
              <w:rPr>
                <w:rFonts w:ascii="Times New Roman" w:hAnsi="Times New Roman" w:cs="Times New Roman"/>
                <w:sz w:val="24"/>
                <w:szCs w:val="24"/>
              </w:rPr>
            </w:pPr>
          </w:p>
        </w:tc>
        <w:tc>
          <w:tcPr>
            <w:tcW w:w="1728" w:type="dxa"/>
            <w:vAlign w:val="center"/>
          </w:tcPr>
          <w:p w:rsidR="00BD60E7" w:rsidRPr="00C54BB2" w:rsidRDefault="00BD60E7" w:rsidP="00BD60E7">
            <w:pPr>
              <w:rPr>
                <w:rFonts w:ascii="Times New Roman" w:hAnsi="Times New Roman" w:cs="Times New Roman"/>
                <w:sz w:val="24"/>
                <w:szCs w:val="24"/>
              </w:rPr>
            </w:pPr>
          </w:p>
        </w:tc>
        <w:tc>
          <w:tcPr>
            <w:tcW w:w="1298" w:type="dxa"/>
            <w:vAlign w:val="center"/>
          </w:tcPr>
          <w:p w:rsidR="00BD60E7" w:rsidRPr="00C54BB2" w:rsidRDefault="00BD60E7" w:rsidP="00BD60E7">
            <w:pPr>
              <w:rPr>
                <w:rFonts w:ascii="Times New Roman" w:hAnsi="Times New Roman" w:cs="Times New Roman"/>
                <w:sz w:val="24"/>
                <w:szCs w:val="24"/>
              </w:rPr>
            </w:pPr>
          </w:p>
        </w:tc>
        <w:tc>
          <w:tcPr>
            <w:tcW w:w="1292" w:type="dxa"/>
            <w:vAlign w:val="center"/>
          </w:tcPr>
          <w:p w:rsidR="00BD60E7" w:rsidRPr="00C54BB2" w:rsidRDefault="00BD60E7" w:rsidP="00BD60E7">
            <w:pPr>
              <w:rPr>
                <w:rFonts w:ascii="Times New Roman" w:hAnsi="Times New Roman" w:cs="Times New Roman"/>
                <w:sz w:val="24"/>
                <w:szCs w:val="24"/>
              </w:rPr>
            </w:pPr>
          </w:p>
        </w:tc>
        <w:tc>
          <w:tcPr>
            <w:tcW w:w="902" w:type="dxa"/>
            <w:vAlign w:val="center"/>
          </w:tcPr>
          <w:p w:rsidR="00BD60E7" w:rsidRPr="00C54BB2" w:rsidRDefault="00BD60E7" w:rsidP="00BD60E7">
            <w:pPr>
              <w:rPr>
                <w:rFonts w:ascii="Times New Roman" w:hAnsi="Times New Roman" w:cs="Times New Roman"/>
                <w:sz w:val="24"/>
                <w:szCs w:val="24"/>
              </w:rPr>
            </w:pP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p>
        </w:tc>
        <w:tc>
          <w:tcPr>
            <w:tcW w:w="725" w:type="dxa"/>
            <w:vAlign w:val="center"/>
          </w:tcPr>
          <w:p w:rsidR="00BD60E7" w:rsidRPr="00C54BB2" w:rsidRDefault="00BD60E7" w:rsidP="00BD60E7">
            <w:pPr>
              <w:rPr>
                <w:rFonts w:ascii="Times New Roman" w:hAnsi="Times New Roman" w:cs="Times New Roman"/>
                <w:sz w:val="24"/>
                <w:szCs w:val="24"/>
              </w:rPr>
            </w:pPr>
          </w:p>
        </w:tc>
        <w:tc>
          <w:tcPr>
            <w:tcW w:w="1728" w:type="dxa"/>
            <w:vAlign w:val="center"/>
          </w:tcPr>
          <w:p w:rsidR="00BD60E7" w:rsidRPr="00C54BB2" w:rsidRDefault="00BD60E7" w:rsidP="00BD60E7">
            <w:pPr>
              <w:rPr>
                <w:rFonts w:ascii="Times New Roman" w:hAnsi="Times New Roman" w:cs="Times New Roman"/>
                <w:sz w:val="24"/>
                <w:szCs w:val="24"/>
              </w:rPr>
            </w:pPr>
          </w:p>
        </w:tc>
        <w:tc>
          <w:tcPr>
            <w:tcW w:w="1298" w:type="dxa"/>
            <w:vAlign w:val="center"/>
          </w:tcPr>
          <w:p w:rsidR="00BD60E7" w:rsidRPr="00C54BB2" w:rsidRDefault="00BD60E7" w:rsidP="00BD60E7">
            <w:pPr>
              <w:rPr>
                <w:rFonts w:ascii="Times New Roman" w:hAnsi="Times New Roman" w:cs="Times New Roman"/>
                <w:sz w:val="24"/>
                <w:szCs w:val="24"/>
              </w:rPr>
            </w:pPr>
          </w:p>
        </w:tc>
        <w:tc>
          <w:tcPr>
            <w:tcW w:w="1292" w:type="dxa"/>
            <w:vAlign w:val="center"/>
          </w:tcPr>
          <w:p w:rsidR="00BD60E7" w:rsidRPr="00C54BB2" w:rsidRDefault="00BD60E7" w:rsidP="00BD60E7">
            <w:pPr>
              <w:rPr>
                <w:rFonts w:ascii="Times New Roman" w:hAnsi="Times New Roman" w:cs="Times New Roman"/>
                <w:sz w:val="24"/>
                <w:szCs w:val="24"/>
              </w:rPr>
            </w:pPr>
          </w:p>
        </w:tc>
        <w:tc>
          <w:tcPr>
            <w:tcW w:w="902" w:type="dxa"/>
            <w:vAlign w:val="center"/>
          </w:tcPr>
          <w:p w:rsidR="00BD60E7" w:rsidRPr="00C54BB2" w:rsidRDefault="00BD60E7" w:rsidP="00BD60E7">
            <w:pPr>
              <w:rPr>
                <w:rFonts w:ascii="Times New Roman" w:hAnsi="Times New Roman" w:cs="Times New Roman"/>
                <w:sz w:val="24"/>
                <w:szCs w:val="24"/>
              </w:rPr>
            </w:pPr>
          </w:p>
        </w:tc>
      </w:tr>
      <w:tr w:rsidR="00BD60E7" w:rsidRPr="00C54BB2" w:rsidTr="00BD60E7">
        <w:trPr>
          <w:trHeight w:val="525"/>
        </w:trPr>
        <w:tc>
          <w:tcPr>
            <w:tcW w:w="1064" w:type="dxa"/>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Принял:</w:t>
            </w:r>
          </w:p>
        </w:tc>
        <w:tc>
          <w:tcPr>
            <w:tcW w:w="4104" w:type="dxa"/>
            <w:gridSpan w:val="2"/>
            <w:tcBorders>
              <w:top w:val="nil"/>
              <w:left w:val="nil"/>
              <w:bottom w:val="single" w:sz="4" w:space="0" w:color="auto"/>
              <w:right w:val="nil"/>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2453" w:type="dxa"/>
            <w:gridSpan w:val="2"/>
            <w:tcBorders>
              <w:top w:val="nil"/>
              <w:left w:val="nil"/>
              <w:bottom w:val="single" w:sz="4" w:space="0" w:color="auto"/>
              <w:right w:val="nil"/>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c>
          <w:tcPr>
            <w:tcW w:w="3492" w:type="dxa"/>
            <w:gridSpan w:val="3"/>
            <w:tcBorders>
              <w:top w:val="nil"/>
              <w:left w:val="nil"/>
              <w:bottom w:val="single" w:sz="4" w:space="0" w:color="auto"/>
              <w:right w:val="nil"/>
            </w:tcBorders>
            <w:vAlign w:val="bottom"/>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 </w:t>
            </w:r>
          </w:p>
        </w:tc>
      </w:tr>
      <w:tr w:rsidR="00BD60E7" w:rsidRPr="00C54BB2" w:rsidTr="00BD60E7">
        <w:trPr>
          <w:trHeight w:val="255"/>
        </w:trPr>
        <w:tc>
          <w:tcPr>
            <w:tcW w:w="1064" w:type="dxa"/>
            <w:vAlign w:val="center"/>
          </w:tcPr>
          <w:p w:rsidR="00BD60E7" w:rsidRPr="00C54BB2" w:rsidRDefault="00BD60E7" w:rsidP="00BD60E7">
            <w:pPr>
              <w:rPr>
                <w:rFonts w:ascii="Times New Roman" w:hAnsi="Times New Roman" w:cs="Times New Roman"/>
                <w:sz w:val="24"/>
                <w:szCs w:val="24"/>
              </w:rPr>
            </w:pPr>
          </w:p>
        </w:tc>
        <w:tc>
          <w:tcPr>
            <w:tcW w:w="1073" w:type="dxa"/>
            <w:vAlign w:val="center"/>
          </w:tcPr>
          <w:p w:rsidR="00BD60E7" w:rsidRPr="00C54BB2" w:rsidRDefault="00BD60E7" w:rsidP="00BD60E7">
            <w:pPr>
              <w:rPr>
                <w:rFonts w:ascii="Times New Roman" w:hAnsi="Times New Roman" w:cs="Times New Roman"/>
                <w:sz w:val="24"/>
                <w:szCs w:val="24"/>
              </w:rPr>
            </w:pPr>
          </w:p>
        </w:tc>
        <w:tc>
          <w:tcPr>
            <w:tcW w:w="3031" w:type="dxa"/>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должность</w:t>
            </w:r>
          </w:p>
        </w:tc>
        <w:tc>
          <w:tcPr>
            <w:tcW w:w="2453" w:type="dxa"/>
            <w:gridSpan w:val="2"/>
            <w:tcBorders>
              <w:top w:val="single" w:sz="4" w:space="0" w:color="auto"/>
              <w:left w:val="nil"/>
              <w:bottom w:val="nil"/>
              <w:right w:val="nil"/>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подпись</w:t>
            </w:r>
          </w:p>
        </w:tc>
        <w:tc>
          <w:tcPr>
            <w:tcW w:w="3492" w:type="dxa"/>
            <w:gridSpan w:val="3"/>
            <w:tcBorders>
              <w:top w:val="single" w:sz="4" w:space="0" w:color="auto"/>
              <w:left w:val="nil"/>
              <w:bottom w:val="nil"/>
              <w:right w:val="nil"/>
            </w:tcBorders>
            <w:vAlign w:val="center"/>
          </w:tcPr>
          <w:p w:rsidR="00BD60E7" w:rsidRPr="00C54BB2" w:rsidRDefault="00BD60E7" w:rsidP="00BD60E7">
            <w:pPr>
              <w:rPr>
                <w:rFonts w:ascii="Times New Roman" w:hAnsi="Times New Roman" w:cs="Times New Roman"/>
                <w:sz w:val="24"/>
                <w:szCs w:val="24"/>
              </w:rPr>
            </w:pPr>
            <w:r w:rsidRPr="00C54BB2">
              <w:rPr>
                <w:rFonts w:ascii="Times New Roman" w:hAnsi="Times New Roman" w:cs="Times New Roman"/>
                <w:sz w:val="24"/>
                <w:szCs w:val="24"/>
              </w:rPr>
              <w:t>расшифровка</w:t>
            </w:r>
          </w:p>
        </w:tc>
      </w:tr>
      <w:tr w:rsidR="00BD60E7" w:rsidRPr="00C54BB2" w:rsidTr="00BD60E7">
        <w:trPr>
          <w:trHeight w:val="255"/>
        </w:trPr>
        <w:tc>
          <w:tcPr>
            <w:tcW w:w="1064" w:type="dxa"/>
            <w:vAlign w:val="center"/>
          </w:tcPr>
          <w:p w:rsidR="00BD60E7" w:rsidRPr="00C54BB2" w:rsidRDefault="00BD60E7" w:rsidP="00BD60E7"/>
        </w:tc>
        <w:tc>
          <w:tcPr>
            <w:tcW w:w="1073" w:type="dxa"/>
            <w:vAlign w:val="center"/>
          </w:tcPr>
          <w:p w:rsidR="00BD60E7" w:rsidRPr="00C54BB2" w:rsidRDefault="00BD60E7" w:rsidP="00BD60E7"/>
        </w:tc>
        <w:tc>
          <w:tcPr>
            <w:tcW w:w="3031" w:type="dxa"/>
            <w:vAlign w:val="center"/>
          </w:tcPr>
          <w:p w:rsidR="00BD60E7" w:rsidRPr="00C54BB2" w:rsidRDefault="00BD60E7" w:rsidP="00BD60E7"/>
        </w:tc>
        <w:tc>
          <w:tcPr>
            <w:tcW w:w="725" w:type="dxa"/>
            <w:vAlign w:val="center"/>
          </w:tcPr>
          <w:p w:rsidR="00BD60E7" w:rsidRPr="00C54BB2" w:rsidRDefault="00BD60E7" w:rsidP="00BD60E7"/>
        </w:tc>
        <w:tc>
          <w:tcPr>
            <w:tcW w:w="1728" w:type="dxa"/>
            <w:vAlign w:val="center"/>
          </w:tcPr>
          <w:p w:rsidR="00BD60E7" w:rsidRPr="00C54BB2" w:rsidRDefault="00BD60E7" w:rsidP="00BD60E7"/>
        </w:tc>
        <w:tc>
          <w:tcPr>
            <w:tcW w:w="1298" w:type="dxa"/>
            <w:vAlign w:val="center"/>
          </w:tcPr>
          <w:p w:rsidR="00BD60E7" w:rsidRPr="00C54BB2" w:rsidRDefault="00BD60E7" w:rsidP="00BD60E7"/>
        </w:tc>
        <w:tc>
          <w:tcPr>
            <w:tcW w:w="1292" w:type="dxa"/>
            <w:vAlign w:val="center"/>
          </w:tcPr>
          <w:p w:rsidR="00BD60E7" w:rsidRPr="00C54BB2" w:rsidRDefault="00BD60E7" w:rsidP="00BD60E7"/>
        </w:tc>
        <w:tc>
          <w:tcPr>
            <w:tcW w:w="902" w:type="dxa"/>
            <w:vAlign w:val="center"/>
          </w:tcPr>
          <w:p w:rsidR="00BD60E7" w:rsidRPr="00C54BB2" w:rsidRDefault="00BD60E7" w:rsidP="00BD60E7"/>
        </w:tc>
      </w:tr>
      <w:tr w:rsidR="00BD60E7" w:rsidRPr="00C54BB2" w:rsidTr="00BD60E7">
        <w:trPr>
          <w:trHeight w:val="255"/>
        </w:trPr>
        <w:tc>
          <w:tcPr>
            <w:tcW w:w="1064" w:type="dxa"/>
            <w:vAlign w:val="center"/>
          </w:tcPr>
          <w:p w:rsidR="00BD60E7" w:rsidRPr="00C54BB2" w:rsidRDefault="00BD60E7" w:rsidP="00BD60E7">
            <w:r w:rsidRPr="00C54BB2">
              <w:t>М.П.</w:t>
            </w:r>
          </w:p>
        </w:tc>
        <w:tc>
          <w:tcPr>
            <w:tcW w:w="1073" w:type="dxa"/>
            <w:vAlign w:val="center"/>
          </w:tcPr>
          <w:p w:rsidR="00BD60E7" w:rsidRPr="00C54BB2" w:rsidRDefault="00BD60E7" w:rsidP="00BD60E7"/>
        </w:tc>
        <w:tc>
          <w:tcPr>
            <w:tcW w:w="3031" w:type="dxa"/>
            <w:vAlign w:val="center"/>
          </w:tcPr>
          <w:p w:rsidR="00BD60E7" w:rsidRPr="00C54BB2" w:rsidRDefault="00BD60E7" w:rsidP="00BD60E7"/>
        </w:tc>
        <w:tc>
          <w:tcPr>
            <w:tcW w:w="725" w:type="dxa"/>
            <w:vAlign w:val="center"/>
          </w:tcPr>
          <w:p w:rsidR="00BD60E7" w:rsidRPr="00C54BB2" w:rsidRDefault="00BD60E7" w:rsidP="00BD60E7"/>
        </w:tc>
        <w:tc>
          <w:tcPr>
            <w:tcW w:w="1728" w:type="dxa"/>
            <w:vAlign w:val="center"/>
          </w:tcPr>
          <w:p w:rsidR="00BD60E7" w:rsidRPr="00C54BB2" w:rsidRDefault="00BD60E7" w:rsidP="00BD60E7"/>
        </w:tc>
        <w:tc>
          <w:tcPr>
            <w:tcW w:w="1298" w:type="dxa"/>
            <w:vAlign w:val="center"/>
          </w:tcPr>
          <w:p w:rsidR="00BD60E7" w:rsidRPr="00C54BB2" w:rsidRDefault="00BD60E7" w:rsidP="00BD60E7"/>
        </w:tc>
        <w:tc>
          <w:tcPr>
            <w:tcW w:w="1292" w:type="dxa"/>
            <w:vAlign w:val="center"/>
          </w:tcPr>
          <w:p w:rsidR="00BD60E7" w:rsidRPr="00C54BB2" w:rsidRDefault="00BD60E7" w:rsidP="00BD60E7"/>
        </w:tc>
        <w:tc>
          <w:tcPr>
            <w:tcW w:w="902" w:type="dxa"/>
            <w:vAlign w:val="center"/>
          </w:tcPr>
          <w:p w:rsidR="00BD60E7" w:rsidRPr="00C54BB2" w:rsidRDefault="00BD60E7" w:rsidP="00BD60E7"/>
        </w:tc>
      </w:tr>
    </w:tbl>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Приложение № 4</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к государственному контракту</w:t>
      </w: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 2013.107096 от 09.07.2013г.</w:t>
      </w:r>
    </w:p>
    <w:p w:rsidR="00C54BB2" w:rsidRPr="00C54BB2" w:rsidRDefault="00C54BB2" w:rsidP="00C54BB2">
      <w:pPr>
        <w:rPr>
          <w:rFonts w:ascii="Times New Roman" w:hAnsi="Times New Roman" w:cs="Times New Roman"/>
          <w:sz w:val="24"/>
          <w:szCs w:val="24"/>
        </w:rPr>
      </w:pPr>
    </w:p>
    <w:p w:rsidR="00C54BB2" w:rsidRPr="00C54BB2" w:rsidRDefault="00C54BB2" w:rsidP="00C54BB2">
      <w:pPr>
        <w:rPr>
          <w:rFonts w:ascii="Times New Roman" w:hAnsi="Times New Roman" w:cs="Times New Roman"/>
          <w:sz w:val="24"/>
          <w:szCs w:val="24"/>
        </w:rPr>
      </w:pPr>
      <w:r w:rsidRPr="00C54BB2">
        <w:rPr>
          <w:rFonts w:ascii="Times New Roman" w:hAnsi="Times New Roman" w:cs="Times New Roman"/>
          <w:sz w:val="24"/>
          <w:szCs w:val="24"/>
        </w:rPr>
        <w:t>(Форма)</w:t>
      </w:r>
    </w:p>
    <w:p w:rsidR="00C54BB2" w:rsidRPr="00C54BB2" w:rsidRDefault="00C54BB2" w:rsidP="00C54BB2">
      <w:pPr>
        <w:rPr>
          <w:rFonts w:ascii="Times New Roman" w:hAnsi="Times New Roman" w:cs="Times New Roman"/>
          <w:sz w:val="24"/>
          <w:szCs w:val="24"/>
        </w:rPr>
      </w:pPr>
    </w:p>
    <w:p w:rsidR="00C54BB2" w:rsidRPr="00C54BB2" w:rsidRDefault="00C54BB2" w:rsidP="00C54BB2"/>
    <w:p w:rsidR="00C54BB2" w:rsidRPr="00C54BB2" w:rsidRDefault="00C54BB2" w:rsidP="00C54BB2"/>
    <w:p w:rsidR="00C54BB2" w:rsidRPr="00C54BB2" w:rsidRDefault="00C54BB2" w:rsidP="00C54BB2"/>
    <w:p w:rsidR="00C54BB2" w:rsidRPr="00C54BB2" w:rsidRDefault="00C54BB2" w:rsidP="00C54BB2"/>
    <w:p w:rsidR="00C54BB2" w:rsidRPr="00C54BB2" w:rsidRDefault="00C54BB2" w:rsidP="00C54BB2"/>
    <w:p w:rsidR="00016028" w:rsidRDefault="00527642">
      <w:r>
        <w:rPr>
          <w:noProof/>
        </w:rPr>
        <w:lastRenderedPageBreak/>
        <w:drawing>
          <wp:inline distT="0" distB="0" distL="0" distR="0">
            <wp:extent cx="5940425" cy="8395225"/>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Pr>
          <w:noProof/>
        </w:rPr>
        <w:lastRenderedPageBreak/>
        <w:drawing>
          <wp:inline distT="0" distB="0" distL="0" distR="0">
            <wp:extent cx="5940425" cy="8395225"/>
            <wp:effectExtent l="1905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srcRect/>
                    <a:stretch>
                      <a:fillRect/>
                    </a:stretch>
                  </pic:blipFill>
                  <pic:spPr bwMode="auto">
                    <a:xfrm>
                      <a:off x="0" y="0"/>
                      <a:ext cx="5940425" cy="8395225"/>
                    </a:xfrm>
                    <a:prstGeom prst="rect">
                      <a:avLst/>
                    </a:prstGeom>
                    <a:noFill/>
                    <a:ln w="9525">
                      <a:noFill/>
                      <a:miter lim="800000"/>
                      <a:headEnd/>
                      <a:tailEnd/>
                    </a:ln>
                  </pic:spPr>
                </pic:pic>
              </a:graphicData>
            </a:graphic>
          </wp:inline>
        </w:drawing>
      </w:r>
      <w:r w:rsidRPr="00527642">
        <w:lastRenderedPageBreak/>
        <w:drawing>
          <wp:inline distT="0" distB="0" distL="0" distR="0">
            <wp:extent cx="5940425" cy="8395225"/>
            <wp:effectExtent l="19050" t="0" r="3175" b="0"/>
            <wp:docPr id="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a:stretch>
                      <a:fillRect/>
                    </a:stretch>
                  </pic:blipFill>
                  <pic:spPr bwMode="auto">
                    <a:xfrm>
                      <a:off x="0" y="0"/>
                      <a:ext cx="5940425" cy="8395225"/>
                    </a:xfrm>
                    <a:prstGeom prst="rect">
                      <a:avLst/>
                    </a:prstGeom>
                    <a:noFill/>
                    <a:ln w="9525">
                      <a:noFill/>
                      <a:miter lim="800000"/>
                      <a:headEnd/>
                      <a:tailEnd/>
                    </a:ln>
                  </pic:spPr>
                </pic:pic>
              </a:graphicData>
            </a:graphic>
          </wp:inline>
        </w:drawing>
      </w:r>
    </w:p>
    <w:sectPr w:rsidR="00016028" w:rsidSect="00BD60E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6028" w:rsidRDefault="00016028" w:rsidP="00527642">
      <w:pPr>
        <w:spacing w:after="0" w:line="240" w:lineRule="auto"/>
      </w:pPr>
      <w:r>
        <w:separator/>
      </w:r>
    </w:p>
  </w:endnote>
  <w:endnote w:type="continuationSeparator" w:id="1">
    <w:p w:rsidR="00016028" w:rsidRDefault="00016028" w:rsidP="0052764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2" w:rsidRPr="00C54BB2" w:rsidRDefault="00C54BB2" w:rsidP="00C54BB2">
    <w:r w:rsidRPr="00C54BB2">
      <w:fldChar w:fldCharType="begin"/>
    </w:r>
    <w:r w:rsidRPr="00C54BB2">
      <w:instrText xml:space="preserve">PAGE  </w:instrText>
    </w:r>
    <w:r w:rsidRPr="00C54BB2">
      <w:fldChar w:fldCharType="end"/>
    </w:r>
  </w:p>
  <w:p w:rsidR="00C54BB2" w:rsidRPr="00C54BB2" w:rsidRDefault="00C54BB2" w:rsidP="00C54BB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2" w:rsidRPr="00C54BB2" w:rsidRDefault="00C54BB2" w:rsidP="00C54BB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2" w:rsidRPr="00C54BB2" w:rsidRDefault="00C54BB2" w:rsidP="00C54BB2"/>
  <w:p w:rsidR="00C54BB2" w:rsidRPr="00C54BB2" w:rsidRDefault="00C54BB2" w:rsidP="00C54BB2"/>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2" w:rsidRPr="00C54BB2" w:rsidRDefault="00C54BB2" w:rsidP="00C54BB2">
    <w:r w:rsidRPr="00C54BB2">
      <w:fldChar w:fldCharType="begin"/>
    </w:r>
    <w:r w:rsidRPr="00C54BB2">
      <w:instrText xml:space="preserve">PAGE  </w:instrText>
    </w:r>
    <w:r w:rsidRPr="00C54BB2">
      <w:fldChar w:fldCharType="end"/>
    </w:r>
  </w:p>
  <w:p w:rsidR="00C54BB2" w:rsidRPr="00C54BB2" w:rsidRDefault="00C54BB2" w:rsidP="00C54BB2"/>
  <w:p w:rsidR="00C54BB2" w:rsidRPr="00C54BB2" w:rsidRDefault="00C54BB2" w:rsidP="00C54BB2"/>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2" w:rsidRPr="00C54BB2" w:rsidRDefault="00C54BB2" w:rsidP="00C54BB2"/>
  <w:p w:rsidR="00C54BB2" w:rsidRPr="00C54BB2" w:rsidRDefault="00C54BB2" w:rsidP="00C54BB2"/>
  <w:p w:rsidR="00C54BB2" w:rsidRPr="00C54BB2" w:rsidRDefault="00C54BB2" w:rsidP="00C54BB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6028" w:rsidRDefault="00016028" w:rsidP="00527642">
      <w:pPr>
        <w:spacing w:after="0" w:line="240" w:lineRule="auto"/>
      </w:pPr>
      <w:r>
        <w:separator/>
      </w:r>
    </w:p>
  </w:footnote>
  <w:footnote w:type="continuationSeparator" w:id="1">
    <w:p w:rsidR="00016028" w:rsidRDefault="00016028" w:rsidP="0052764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2" w:rsidRPr="00C54BB2" w:rsidRDefault="00C54BB2" w:rsidP="00C54BB2">
    <w:r w:rsidRPr="00C54BB2">
      <w:fldChar w:fldCharType="begin"/>
    </w:r>
    <w:r w:rsidRPr="00C54BB2">
      <w:instrText xml:space="preserve">PAGE  </w:instrText>
    </w:r>
    <w:r w:rsidRPr="00C54BB2">
      <w:fldChar w:fldCharType="end"/>
    </w:r>
  </w:p>
  <w:p w:rsidR="00C54BB2" w:rsidRPr="00C54BB2" w:rsidRDefault="00C54BB2" w:rsidP="00C54BB2"/>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BB2" w:rsidRPr="00C54BB2" w:rsidRDefault="00C54BB2" w:rsidP="00C54BB2"/>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drawingGridHorizontalSpacing w:val="110"/>
  <w:displayHorizontalDrawingGridEvery w:val="2"/>
  <w:characterSpacingControl w:val="doNotCompress"/>
  <w:hdrShapeDefaults>
    <o:shapedefaults v:ext="edit" spidmax="3074"/>
  </w:hdrShapeDefaults>
  <w:footnotePr>
    <w:footnote w:id="0"/>
    <w:footnote w:id="1"/>
  </w:footnotePr>
  <w:endnotePr>
    <w:endnote w:id="0"/>
    <w:endnote w:id="1"/>
  </w:endnotePr>
  <w:compat>
    <w:useFELayout/>
  </w:compat>
  <w:rsids>
    <w:rsidRoot w:val="00527642"/>
    <w:rsid w:val="00016028"/>
    <w:rsid w:val="00527642"/>
    <w:rsid w:val="00BD60E7"/>
    <w:rsid w:val="00C54BB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2764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27642"/>
    <w:rPr>
      <w:rFonts w:ascii="Tahoma" w:hAnsi="Tahoma" w:cs="Tahoma"/>
      <w:sz w:val="16"/>
      <w:szCs w:val="16"/>
    </w:rPr>
  </w:style>
  <w:style w:type="paragraph" w:styleId="a5">
    <w:name w:val="header"/>
    <w:basedOn w:val="a"/>
    <w:link w:val="a6"/>
    <w:uiPriority w:val="99"/>
    <w:semiHidden/>
    <w:unhideWhenUsed/>
    <w:rsid w:val="00527642"/>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527642"/>
  </w:style>
  <w:style w:type="paragraph" w:styleId="a7">
    <w:name w:val="footer"/>
    <w:basedOn w:val="a"/>
    <w:link w:val="a8"/>
    <w:uiPriority w:val="99"/>
    <w:semiHidden/>
    <w:unhideWhenUsed/>
    <w:rsid w:val="00527642"/>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527642"/>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1.xml"/><Relationship Id="rId18" Type="http://schemas.openxmlformats.org/officeDocument/2006/relationships/footer" Target="footer4.xml"/><Relationship Id="rId26"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image" Target="media/image7.emf"/><Relationship Id="rId34" Type="http://schemas.openxmlformats.org/officeDocument/2006/relationships/image" Target="media/image20.emf"/><Relationship Id="rId7" Type="http://schemas.openxmlformats.org/officeDocument/2006/relationships/image" Target="media/image1.emf"/><Relationship Id="rId12" Type="http://schemas.openxmlformats.org/officeDocument/2006/relationships/hyperlink" Target="http://www.tuad.nsk.ru" TargetMode="External"/><Relationship Id="rId17" Type="http://schemas.openxmlformats.org/officeDocument/2006/relationships/footer" Target="footer3.xml"/><Relationship Id="rId25" Type="http://schemas.openxmlformats.org/officeDocument/2006/relationships/image" Target="media/image11.emf"/><Relationship Id="rId33"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image" Target="media/image6.emf"/><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0.emf"/><Relationship Id="rId32"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footer" Target="footer5.xml"/><Relationship Id="rId31" Type="http://schemas.openxmlformats.org/officeDocument/2006/relationships/image" Target="media/image17.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1.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m9DLCONk69CjQRBln4fbjPNbhZ94gboBbATMkM+UAIk=</DigestValue>
    </Reference>
    <Reference URI="#idOfficeObject" Type="http://www.w3.org/2000/09/xmldsig#Object">
      <DigestMethod Algorithm="http://www.w3.org/2001/04/xmldsig-more#gostr3411"/>
      <DigestValue>e9yR58sOyLUljbRAjlFGzXuwURwYq+2ykU8SiARSP90=</DigestValue>
    </Reference>
  </SignedInfo>
  <SignatureValue>
    icqIMi1ZG+/ebqvdhrbGWOdC3LoND0nmFUfHFeleC/T3/t6HNbjDL/Fh56kCXEcZrlAEJRDn
    RDV2x1Rc779giA==
  </SignatureValue>
  <KeyInfo>
    <X509Data>
      <X509Certificate>
          MIII0jCCCIGgAwIBAgIDCp+vMAgGBiqFAwICAzCCAV0xGDAWBgkqhkiG9w0BCQITCVNlcnZl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stCwMB4XDTE1MDQwOTA1MDYzMFoXDTE2MDcwOTA1MDYzMFowggHTMRowGAYIKoUDA4EDAQES
          DDAwNTQwNTEwMDMxNjEWMBQGBSqFA2QDEgswNjkwNzQ0MTU4MDEYMBYGBSqFA2QBEg0xMDI1
          NDAxOTIzNTgwMSYwJAYJKoZIhvcNAQkBFhdwZXRyYWNoZW5rb0B0dWFkLm5zay5ydTELMAkG
          A1UEBhMCUlUxNTAzBgNVBAgMLDU0INCd0L7QstC+0YHQuNCx0LjRgNGB0LrQsNGPINC+0LHQ
          u9Cw0YHRgtGMMR8wHQYDVQQHDBbQndC+0LLQvtGB0LjQsdC40YDRgdC6MR8wHQYDVQQKDBbQ
          k9Ca0KMg0J3QodCeINCi0KPQkNCUMTAwLgYDVQQqDCfQn9C+0LvQuNC90LAg0JDQu9C10LrR
          gdCw0L3QtNGA0L7QstC90LAxHTAbBgNVBAQMFNCf0LXRgtGA0LDRh9C10L3QutC+MT0wOwYD
          VQQMDDTQrdC60YHQv9C10YDRgiDQtNC+0YDQvtC20L3QvtCz0L4g0YXQvtC30Y/QudGB0YLQ
          stCwMUUwQwYDVQQDDDzQn9C10YLRgNCw0YfQtdC90LrQviDQn9C+0LvQuNC90LAg0JDQu9C1
          0LrRgdCw0L3QtNGA0L7QstC90LAwYzAcBgYqhQMCAhMwEgYHKoUDAgIkAAYHKoUDAgIeAQND
          AARA7ZLd8d+I9HcTBMFbNxatbBUAMcxH7zfoXcvzHsR1E+42F212lRQxCiwVO2+nXM78yUXS
          EUHe30ABqHChgeKpoqOCBKwwggSoMAwGA1UdEwEB/wQCMAAwHQYDVR0gBBYwFDAIBgYqhQNk
          cQEwCAYGKoUDZHECMFgGA1UdEQRRME+gEgYDVQQMoAsTCTQwNjE1MjMwOaAZBgoqhQMDPZ7X
          NgEHoAsTCTU0MDUwMTAwMaAbBgoqhQMDPZ7XNgEFoA0TCzAzNTEyMDAwMDU4hgEwMDYGBSqF
          A2RvBC0MKyLQmtGA0LjQv9GC0L7Qn9GA0L4gQ1NQIiAo0LLQtdGA0YHQuNGPIDMuNikwggFh
          BgUqhQNkcASCAVYwggFSDEQi0JrRgNC40L/RgtC+0J/RgNC+IENTUCIgKNCy0LXRgNGB0LjR
          jyAzLjYpICjQuNGB0L/QvtC70L3QtdC90LjQtSAyKQxoItCf0YDQvtCz0YDQsNC80LzQvdC+
          LdCw0L/Qv9Cw0YDQsNGC0L3Ri9C5INC60L7QvNC/0LvQtdC60YEgItCu0L3QuNGB0LXRgNGC
          LdCT0J7QodCiIi4g0JLQtdGA0YHQuNGPIDIuMSIMT9Ch0LXRgNGC0LjRhNC40LrQsNGCINGB
          0L7QvtGC0LLQtdGC0YHRgtCy0LjRjyDihJYg0KHQpC8xMjQtMjIzOCDQvtGCIDA0LjEwLjIw
          MTMMT9Ch0LXRgNGC0LjRhNC40LrQsNGCINGB0L7QvtGC0LLQtdGC0YHRgtCy0LjRjyDihJYg
          0KHQpC8xMjgtMjE3NSDQvtGCIDIwLjA2LjIwMTMwDgYDVR0PAQH/BAQDAgPoMDMGA1UdJQQs
          MCoGCCsGAQUFBwMCBg4qhQMDPZ7XNgEGAwQBAgYOKoUDAz2e1zYBBgMEAQQwKwYDVR0QBCQw
          IoAPMjAxNTA0MDkwNTA1NDRagQ8yMDE2MDcwOTA1MDU0NFowggGPBgNVHSMEggGGMIIBgoAU
          nnEOD9q0AShfP+LLj2UVlwJHjKuhggFlpIIBYTCCAV0xGDAWBgkqhkiG9w0BCQITCVNlcnZl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stCwggEBMF4GA1UdHwRXMFUwKaAnoCWGI2h0dHA6Ly9jcmwucm9za2F6bmEucnUvY3JsL2Zr
          MDEuY3JsMCigJqAkhiJodHRwOi8vY3JsLmZzZmsubG9jYWwvY3JsL2ZrMDEuY3JsMB0GA1Ud
          DgQWBBRId4UqslApcYkFS8w6swJ7D+d3NjAIBgYqhQMCAgMDQQBCWgFQImmqVXStQkU7gQij
          bjHrPY9AC7VJ3QmWKZE8cbn3owUxsAJWCgyT9P6LuL/3VqGqi/qrrJfnVLXg5Xnl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34"/>
            <mdssi:RelationshipReference SourceId="rId7"/>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lyExf8yROb7U/4HlI2qATCH4avg=</DigestValue>
      </Reference>
      <Reference URI="/word/document.xml?ContentType=application/vnd.openxmlformats-officedocument.wordprocessingml.document.main+xml">
        <DigestMethod Algorithm="http://www.w3.org/2000/09/xmldsig#sha1"/>
        <DigestValue>X2/BLa9nZDIECq9NXzsKob+4olc=</DigestValue>
      </Reference>
      <Reference URI="/word/endnotes.xml?ContentType=application/vnd.openxmlformats-officedocument.wordprocessingml.endnotes+xml">
        <DigestMethod Algorithm="http://www.w3.org/2000/09/xmldsig#sha1"/>
        <DigestValue>8CNlACn5sBYW+Oel7XLckJZXxL0=</DigestValue>
      </Reference>
      <Reference URI="/word/fontTable.xml?ContentType=application/vnd.openxmlformats-officedocument.wordprocessingml.fontTable+xml">
        <DigestMethod Algorithm="http://www.w3.org/2000/09/xmldsig#sha1"/>
        <DigestValue>YOkcnJYy41sMXIvwt+IUmpRP274=</DigestValue>
      </Reference>
      <Reference URI="/word/footer1.xml?ContentType=application/vnd.openxmlformats-officedocument.wordprocessingml.footer+xml">
        <DigestMethod Algorithm="http://www.w3.org/2000/09/xmldsig#sha1"/>
        <DigestValue>3GsisTIFwOpq9/qqwUcoCud/PxA=</DigestValue>
      </Reference>
      <Reference URI="/word/footer2.xml?ContentType=application/vnd.openxmlformats-officedocument.wordprocessingml.footer+xml">
        <DigestMethod Algorithm="http://www.w3.org/2000/09/xmldsig#sha1"/>
        <DigestValue>k4yboWRd/JZiddlJrA67LewKiSE=</DigestValue>
      </Reference>
      <Reference URI="/word/footer3.xml?ContentType=application/vnd.openxmlformats-officedocument.wordprocessingml.footer+xml">
        <DigestMethod Algorithm="http://www.w3.org/2000/09/xmldsig#sha1"/>
        <DigestValue>qHNLLSYMpShLmGV+FTXe/uZXB3o=</DigestValue>
      </Reference>
      <Reference URI="/word/footer4.xml?ContentType=application/vnd.openxmlformats-officedocument.wordprocessingml.footer+xml">
        <DigestMethod Algorithm="http://www.w3.org/2000/09/xmldsig#sha1"/>
        <DigestValue>bDGZA23DPaDh9PJ6HvPM3tc1DiY=</DigestValue>
      </Reference>
      <Reference URI="/word/footer5.xml?ContentType=application/vnd.openxmlformats-officedocument.wordprocessingml.footer+xml">
        <DigestMethod Algorithm="http://www.w3.org/2000/09/xmldsig#sha1"/>
        <DigestValue>/NEBQpsij8dy6XzSxcupzYOmtto=</DigestValue>
      </Reference>
      <Reference URI="/word/footnotes.xml?ContentType=application/vnd.openxmlformats-officedocument.wordprocessingml.footnotes+xml">
        <DigestMethod Algorithm="http://www.w3.org/2000/09/xmldsig#sha1"/>
        <DigestValue>pXCe1+b4KSanJoedKdvvOOnhfw4=</DigestValue>
      </Reference>
      <Reference URI="/word/header1.xml?ContentType=application/vnd.openxmlformats-officedocument.wordprocessingml.header+xml">
        <DigestMethod Algorithm="http://www.w3.org/2000/09/xmldsig#sha1"/>
        <DigestValue>73v7NXdOo38niCKxWOLSx5wdKXc=</DigestValue>
      </Reference>
      <Reference URI="/word/header2.xml?ContentType=application/vnd.openxmlformats-officedocument.wordprocessingml.header+xml">
        <DigestMethod Algorithm="http://www.w3.org/2000/09/xmldsig#sha1"/>
        <DigestValue>rYPJAPe/Mk7Oo0euKr6meV2e1xM=</DigestValue>
      </Reference>
      <Reference URI="/word/media/image1.emf?ContentType=image/x-emf">
        <DigestMethod Algorithm="http://www.w3.org/2000/09/xmldsig#sha1"/>
        <DigestValue>2rPmAC7PqyMzcAPeMMianXW27fo=</DigestValue>
      </Reference>
      <Reference URI="/word/media/image10.emf?ContentType=image/x-emf">
        <DigestMethod Algorithm="http://www.w3.org/2000/09/xmldsig#sha1"/>
        <DigestValue>YHccczo7qZnhEtl6uDLVdHPIG6s=</DigestValue>
      </Reference>
      <Reference URI="/word/media/image11.emf?ContentType=image/x-emf">
        <DigestMethod Algorithm="http://www.w3.org/2000/09/xmldsig#sha1"/>
        <DigestValue>C/nvAMjKy4Q/Q9s3FEbvUAjwgJI=</DigestValue>
      </Reference>
      <Reference URI="/word/media/image12.emf?ContentType=image/x-emf">
        <DigestMethod Algorithm="http://www.w3.org/2000/09/xmldsig#sha1"/>
        <DigestValue>h4dJTDqZjxl8aAb5MueGGSO3y9g=</DigestValue>
      </Reference>
      <Reference URI="/word/media/image13.emf?ContentType=image/x-emf">
        <DigestMethod Algorithm="http://www.w3.org/2000/09/xmldsig#sha1"/>
        <DigestValue>IKrvGc0ymOkOSs7bUxybGQnM+js=</DigestValue>
      </Reference>
      <Reference URI="/word/media/image14.emf?ContentType=image/x-emf">
        <DigestMethod Algorithm="http://www.w3.org/2000/09/xmldsig#sha1"/>
        <DigestValue>85uVsWGgIoQSzLnE72tbzkO6wxA=</DigestValue>
      </Reference>
      <Reference URI="/word/media/image15.emf?ContentType=image/x-emf">
        <DigestMethod Algorithm="http://www.w3.org/2000/09/xmldsig#sha1"/>
        <DigestValue>vIyJS6vjHzqDQyJY88HY0bKbTlQ=</DigestValue>
      </Reference>
      <Reference URI="/word/media/image16.emf?ContentType=image/x-emf">
        <DigestMethod Algorithm="http://www.w3.org/2000/09/xmldsig#sha1"/>
        <DigestValue>4RYOLU7vN7evXWwo2PsVQgCQA7I=</DigestValue>
      </Reference>
      <Reference URI="/word/media/image17.emf?ContentType=image/x-emf">
        <DigestMethod Algorithm="http://www.w3.org/2000/09/xmldsig#sha1"/>
        <DigestValue>Swl0qmux5eyHW7sNb+6gOIvA484=</DigestValue>
      </Reference>
      <Reference URI="/word/media/image18.emf?ContentType=image/x-emf">
        <DigestMethod Algorithm="http://www.w3.org/2000/09/xmldsig#sha1"/>
        <DigestValue>X4lRW8/lL0/qmhzm0NC1kSYc8/s=</DigestValue>
      </Reference>
      <Reference URI="/word/media/image19.emf?ContentType=image/x-emf">
        <DigestMethod Algorithm="http://www.w3.org/2000/09/xmldsig#sha1"/>
        <DigestValue>6pgqsj+82KQpYFp0/b8xlC3RnBQ=</DigestValue>
      </Reference>
      <Reference URI="/word/media/image2.emf?ContentType=image/x-emf">
        <DigestMethod Algorithm="http://www.w3.org/2000/09/xmldsig#sha1"/>
        <DigestValue>O4NcIEky5Z+IuZJs+lrXH/i6axM=</DigestValue>
      </Reference>
      <Reference URI="/word/media/image20.emf?ContentType=image/x-emf">
        <DigestMethod Algorithm="http://www.w3.org/2000/09/xmldsig#sha1"/>
        <DigestValue>OBNQFUjPJI+EyAsVajlyisbkyAA=</DigestValue>
      </Reference>
      <Reference URI="/word/media/image3.emf?ContentType=image/x-emf">
        <DigestMethod Algorithm="http://www.w3.org/2000/09/xmldsig#sha1"/>
        <DigestValue>VfF9c//XiQ7wX1cTy30YP2KdKV8=</DigestValue>
      </Reference>
      <Reference URI="/word/media/image4.emf?ContentType=image/x-emf">
        <DigestMethod Algorithm="http://www.w3.org/2000/09/xmldsig#sha1"/>
        <DigestValue>EKE3IF3+dDh/kD1mZXtcAOpRxLo=</DigestValue>
      </Reference>
      <Reference URI="/word/media/image5.emf?ContentType=image/x-emf">
        <DigestMethod Algorithm="http://www.w3.org/2000/09/xmldsig#sha1"/>
        <DigestValue>RciZDr5O67YjZMwfeVQ3DIShb/Y=</DigestValue>
      </Reference>
      <Reference URI="/word/media/image6.emf?ContentType=image/x-emf">
        <DigestMethod Algorithm="http://www.w3.org/2000/09/xmldsig#sha1"/>
        <DigestValue>aWtwWot77yWGl+BzNlTE5yHNNwY=</DigestValue>
      </Reference>
      <Reference URI="/word/media/image7.emf?ContentType=image/x-emf">
        <DigestMethod Algorithm="http://www.w3.org/2000/09/xmldsig#sha1"/>
        <DigestValue>VEyhKnp9/JPqGhk9Fp0Dlj6EOP4=</DigestValue>
      </Reference>
      <Reference URI="/word/media/image8.emf?ContentType=image/x-emf">
        <DigestMethod Algorithm="http://www.w3.org/2000/09/xmldsig#sha1"/>
        <DigestValue>UVZpCmE6x+E9REzCbiCm5PL+YvM=</DigestValue>
      </Reference>
      <Reference URI="/word/media/image9.emf?ContentType=image/x-emf">
        <DigestMethod Algorithm="http://www.w3.org/2000/09/xmldsig#sha1"/>
        <DigestValue>dYIq0Wd2AS+mXJ2JqYmKQ58zbxI=</DigestValue>
      </Reference>
      <Reference URI="/word/settings.xml?ContentType=application/vnd.openxmlformats-officedocument.wordprocessingml.settings+xml">
        <DigestMethod Algorithm="http://www.w3.org/2000/09/xmldsig#sha1"/>
        <DigestValue>t2CE+sX6bM0F+3S1Kqg53zckIqs=</DigestValue>
      </Reference>
      <Reference URI="/word/styles.xml?ContentType=application/vnd.openxmlformats-officedocument.wordprocessingml.styles+xml">
        <DigestMethod Algorithm="http://www.w3.org/2000/09/xmldsig#sha1"/>
        <DigestValue>b6wcvlitoexq2SZr6JIfrDxgYeI=</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lsJpQUi3QcTiTVvBBf6+hbXAN/o=</DigestValue>
      </Reference>
    </Manifest>
    <SignatureProperties>
      <SignatureProperty Id="idSignatureTime" Target="#idPackageSignature">
        <mdssi:SignatureTime>
          <mdssi:Format>YYYY-MM-DDThh:mm:ssTZD</mdssi:Format>
          <mdssi:Value>2015-10-26T11:29:06Z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9DCF73-0C84-4A23-891C-A22A56361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66</Pages>
  <Words>13966</Words>
  <Characters>79608</Characters>
  <Application>Microsoft Office Word</Application>
  <DocSecurity>0</DocSecurity>
  <Lines>663</Lines>
  <Paragraphs>186</Paragraphs>
  <ScaleCrop>false</ScaleCrop>
  <Company/>
  <LinksUpToDate>false</LinksUpToDate>
  <CharactersWithSpaces>93388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Кузьменкова Галина Сергеевна</dc:creator>
  <cp:keywords/>
  <dc:description/>
  <cp:lastModifiedBy>Кузьменкова Галина Сергеевна</cp:lastModifiedBy>
  <cp:revision>4</cp:revision>
  <dcterms:created xsi:type="dcterms:W3CDTF">2015-10-26T11:03:00Z</dcterms:created>
  <dcterms:modified xsi:type="dcterms:W3CDTF">2015-10-26T11:18:00Z</dcterms:modified>
</cp:coreProperties>
</file>