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emf" ContentType="image/x-emf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568440" cy="9182100"/>
                <wp:effectExtent l="0" t="0" r="3810" b="0"/>
                <wp:docPr id="1" name="Рисунок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 noChangeArrowheads="1"/>
                        </pic:cNvPicPr>
                        <pic:nvPr/>
                      </pic:nvPicPr>
                      <pic:blipFill>
                        <a:blip r:embed="rId6"/>
                        <a:srcRect/>
                        <a:stretch/>
                      </pic:blipFill>
                      <pic:spPr bwMode="auto">
                        <a:xfrm>
                          <a:off x="0" y="0"/>
                          <a:ext cx="6568440" cy="9182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517.20pt;height:723.00pt;mso-wrap-distance-left:0.00pt;mso-wrap-distance-top:0.00pt;mso-wrap-distance-right:0.00pt;mso-wrap-distance-bottom:0.00pt;" stroked="false">
                <v:path textboxrect="0,0,0,0"/>
                <v:imagedata r:id="rId6" o:title=""/>
              </v:shape>
            </w:pict>
          </mc:Fallback>
        </mc:AlternateContent>
      </w:r>
      <w:r>
        <w:rPr>
          <w:b/>
          <w:sz w:val="32"/>
          <w:szCs w:val="32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568440" cy="9197340"/>
                <wp:effectExtent l="0" t="0" r="3810" b="3810"/>
                <wp:docPr id="2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 noChangeArrowheads="1"/>
                        </pic:cNvPicPr>
                        <pic:nvPr/>
                      </pic:nvPicPr>
                      <pic:blipFill>
                        <a:blip r:embed="rId7"/>
                        <a:srcRect/>
                        <a:stretch/>
                      </pic:blipFill>
                      <pic:spPr bwMode="auto">
                        <a:xfrm>
                          <a:off x="0" y="0"/>
                          <a:ext cx="6568440" cy="919734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517.20pt;height:724.20pt;mso-wrap-distance-left:0.00pt;mso-wrap-distance-top:0.00pt;mso-wrap-distance-right:0.00pt;mso-wrap-distance-bottom:0.00pt;" stroked="false">
                <v:path textboxrect="0,0,0,0"/>
                <v:imagedata r:id="rId7" o:title=""/>
              </v:shape>
            </w:pict>
          </mc:Fallback>
        </mc:AlternateContent>
      </w:r>
      <w:r>
        <w:rPr>
          <w:b/>
          <w:sz w:val="32"/>
          <w:szCs w:val="32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570345" cy="9194128"/>
                <wp:effectExtent l="0" t="0" r="1905" b="7620"/>
                <wp:docPr id="3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  <pic:nvPr/>
                      </pic:nvPicPr>
                      <pic:blipFill>
                        <a:blip r:embed="rId8"/>
                        <a:srcRect/>
                        <a:stretch/>
                      </pic:blipFill>
                      <pic:spPr bwMode="auto">
                        <a:xfrm>
                          <a:off x="0" y="0"/>
                          <a:ext cx="6570345" cy="91941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517.35pt;height:723.95pt;mso-wrap-distance-left:0.00pt;mso-wrap-distance-top:0.00pt;mso-wrap-distance-right:0.00pt;mso-wrap-distance-bottom:0.00pt;" stroked="f">
                <v:path textboxrect="0,0,0,0"/>
                <v:imagedata r:id="rId8" o:title=""/>
              </v:shape>
            </w:pict>
          </mc:Fallback>
        </mc:AlternateContent>
      </w:r>
      <w:bookmarkStart w:id="0" w:name="_GoBack"/>
      <w:bookmarkEnd w:id="0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570345" cy="9194128"/>
                <wp:effectExtent l="0" t="0" r="1905" b="7620"/>
                <wp:docPr id="4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 noChangeArrowheads="1"/>
                        </pic:cNvPicPr>
                        <pic:nvPr/>
                      </pic:nvPicPr>
                      <pic:blipFill>
                        <a:blip r:embed="rId9"/>
                        <a:srcRect/>
                        <a:stretch/>
                      </pic:blipFill>
                      <pic:spPr bwMode="auto">
                        <a:xfrm>
                          <a:off x="0" y="0"/>
                          <a:ext cx="6570345" cy="91941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517.35pt;height:723.95pt;mso-wrap-distance-left:0.00pt;mso-wrap-distance-top:0.00pt;mso-wrap-distance-right:0.00pt;mso-wrap-distance-bottom:0.00pt;" stroked="f">
                <v:path textboxrect="0,0,0,0"/>
                <v:imagedata r:id="rId9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570345" cy="9205015"/>
                <wp:effectExtent l="0" t="0" r="1905" b="0"/>
                <wp:docPr id="5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 noChangeArrowheads="1"/>
                        </pic:cNvPicPr>
                        <pic:nvPr/>
                      </pic:nvPicPr>
                      <pic:blipFill>
                        <a:blip r:embed="rId10"/>
                        <a:srcRect/>
                        <a:stretch/>
                      </pic:blipFill>
                      <pic:spPr bwMode="auto">
                        <a:xfrm>
                          <a:off x="0" y="0"/>
                          <a:ext cx="6570345" cy="9205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517.35pt;height:724.80pt;mso-wrap-distance-left:0.00pt;mso-wrap-distance-top:0.00pt;mso-wrap-distance-right:0.00pt;mso-wrap-distance-bottom:0.00pt;" stroked="f">
                <v:path textboxrect="0,0,0,0"/>
                <v:imagedata r:id="rId10" o:title=""/>
              </v:shape>
            </w:pict>
          </mc:Fallback>
        </mc:AlternateContent>
      </w:r>
    </w:p>
    <w:p>
      <w:pPr>
        <w:jc w:val="center"/>
        <w:rPr>
          <w:b/>
          <w:sz w:val="32"/>
          <w:szCs w:val="32"/>
        </w:rPr>
      </w:pPr>
    </w:p>
    <w:p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t xml:space="preserve">Описание объекта закупки</w:t>
      </w:r>
    </w:p>
    <w:p>
      <w:pPr>
        <w:jc w:val="center"/>
      </w:pPr>
      <w:r>
        <w:t xml:space="preserve">на выполнение</w:t>
      </w:r>
      <w:r>
        <w:rPr>
          <w:b/>
        </w:rPr>
        <w:t xml:space="preserve"> </w:t>
      </w:r>
      <w:r>
        <w:rPr>
          <w:rFonts w:ascii="Times New Roman CYR" w:hAnsi="Times New Roman CYR" w:cs="Times New Roman CYR"/>
        </w:rPr>
        <w:t xml:space="preserve">работ </w:t>
      </w:r>
      <w:r>
        <w:rPr>
          <w:rFonts w:ascii="Times New Roman CYR" w:hAnsi="Times New Roman CYR" w:cs="Times New Roman CYR"/>
        </w:rPr>
        <w:t xml:space="preserve">по </w:t>
      </w:r>
      <w:r>
        <w:rPr>
          <w:rFonts w:ascii="Times New Roman CYR" w:hAnsi="Times New Roman CYR" w:cs="Times New Roman CYR"/>
        </w:rPr>
        <w:t xml:space="preserve">ремонту</w:t>
      </w:r>
      <w:r>
        <w:rPr>
          <w:rFonts w:ascii="Times New Roman CYR" w:hAnsi="Times New Roman CYR" w:cs="Times New Roman CYR"/>
        </w:rPr>
        <w:t xml:space="preserve"> </w:t>
      </w:r>
      <w:r>
        <w:rPr>
          <w:rFonts w:ascii="Times New Roman CYR" w:hAnsi="Times New Roman CYR" w:cs="Times New Roman CYR"/>
        </w:rPr>
        <w:t xml:space="preserve">а/д «</w:t>
      </w:r>
      <w:r>
        <w:rPr>
          <w:rFonts w:ascii="Times New Roman CYR" w:hAnsi="Times New Roman CYR" w:cs="Times New Roman CYR"/>
        </w:rPr>
        <w:t xml:space="preserve">1237 км а/д «Р-254» - Крещенское» в Убинском </w:t>
      </w:r>
      <w:r>
        <w:rPr>
          <w:rFonts w:ascii="Times New Roman CYR" w:hAnsi="Times New Roman CYR" w:cs="Times New Roman CYR"/>
        </w:rPr>
        <w:t xml:space="preserve">районе Новосибирской области</w:t>
      </w:r>
      <w:r>
        <w:rPr>
          <w:rFonts w:ascii="Times New Roman CYR" w:hAnsi="Times New Roman CYR" w:cs="Times New Roman CYR"/>
        </w:rPr>
        <w:t xml:space="preserve">.</w:t>
      </w:r>
      <w:r>
        <w:rPr>
          <w:lang w:eastAsia="en-US"/>
        </w:rPr>
        <w:t xml:space="preserve"> </w:t>
      </w:r>
    </w:p>
    <w:p>
      <w:pPr>
        <w:ind w:firstLine="0"/>
      </w:pPr>
    </w:p>
    <w:p>
      <w:pPr>
        <w:spacing w:after="160" w:line="256" w:lineRule="auto"/>
        <w:ind w:right="133"/>
        <w:contextualSpacing/>
      </w:pPr>
      <w:r>
        <w:t xml:space="preserve">Проектная и рабочая документация Шифр </w:t>
      </w:r>
      <w:r>
        <w:t xml:space="preserve">3005-2/21-АД</w:t>
      </w:r>
      <w:r>
        <w:t xml:space="preserve">, (далее – Документация) на </w:t>
      </w:r>
      <w:r>
        <w:t xml:space="preserve">ремонт</w:t>
      </w:r>
      <w:r>
        <w:t xml:space="preserve"> а/д «</w:t>
      </w:r>
      <w:r>
        <w:t xml:space="preserve">1237 км а/д «Р-254» - Крещенское» в Убинском </w:t>
      </w:r>
      <w:r>
        <w:t xml:space="preserve">районе Новосибирской области, в соответствии с постановлением Правительства РФ от 16.02.2008 N 87 «О составе разделов проектной документации и требованиях к их содержанию»,  содержится в составе Описания объекта закупки. </w:t>
      </w:r>
    </w:p>
    <w:p>
      <w:pPr>
        <w:spacing w:after="160" w:line="256" w:lineRule="auto"/>
        <w:ind w:right="133"/>
        <w:contextualSpacing/>
      </w:pPr>
      <w:r>
        <w:t xml:space="preserve">Работы выполняются в объеме и в соответствии с функционально-технологическими, конструктивными и инженерно-техническими решениями, изложенными в  Документации. </w:t>
      </w:r>
    </w:p>
    <w:p>
      <w:pPr>
        <w:spacing w:after="160" w:line="256" w:lineRule="auto"/>
        <w:ind w:right="133"/>
        <w:contextualSpacing/>
      </w:pPr>
      <w:r>
        <w:t xml:space="preserve">Все указания, встречающиеся в настоящем Описании объекта закупки, на используемое оборудование, машины, механизмы, не являются требованием к производственным мощностям Подрядчика. Все указания являются расчетными единицами для определения Заказчиком начальной (максимальной) цены Контракта.</w:t>
      </w:r>
    </w:p>
    <w:p>
      <w:pPr>
        <w:spacing w:after="160" w:line="256" w:lineRule="auto"/>
        <w:ind w:right="133"/>
        <w:contextualSpacing/>
      </w:pPr>
    </w:p>
    <w:p>
      <w:pPr>
        <w:spacing w:before="120" w:after="120"/>
        <w:jc w:val="center"/>
        <w:rPr>
          <w:b/>
        </w:rPr>
      </w:pPr>
      <w:r>
        <w:rPr>
          <w:b/>
        </w:rPr>
        <w:t xml:space="preserve">1. Место выполнения Работ (по месту нахождения Объекта):</w:t>
      </w:r>
    </w:p>
    <w:p>
      <w:pPr>
        <w:tabs>
          <w:tab w:val="left" w:pos="993"/>
        </w:tabs>
        <w:ind w:firstLine="720"/>
      </w:pPr>
      <w:r>
        <w:t xml:space="preserve">а/д «</w:t>
      </w:r>
      <w:r>
        <w:t xml:space="preserve">1237 </w:t>
      </w:r>
      <w:r>
        <w:t xml:space="preserve">км</w:t>
      </w:r>
      <w:r>
        <w:t xml:space="preserve"> а/д «Р-254» - Крещенское» в Убинском </w:t>
      </w:r>
      <w:r>
        <w:t xml:space="preserve">районе Новосибирской области, участок работ  км </w:t>
      </w:r>
      <w:r>
        <w:t xml:space="preserve">34+000</w:t>
      </w:r>
      <w:r>
        <w:t xml:space="preserve"> – км </w:t>
      </w:r>
      <w:r>
        <w:t xml:space="preserve">43</w:t>
      </w:r>
      <w:r>
        <w:t xml:space="preserve">+</w:t>
      </w:r>
      <w:r>
        <w:t xml:space="preserve">500</w:t>
      </w:r>
      <w:r>
        <w:t xml:space="preserve">, протяженностью </w:t>
      </w:r>
      <w:r>
        <w:t xml:space="preserve">9,5</w:t>
      </w:r>
      <w:r>
        <w:t xml:space="preserve"> км</w:t>
      </w:r>
      <w:r>
        <w:t xml:space="preserve">.</w:t>
      </w:r>
    </w:p>
    <w:p>
      <w:pPr>
        <w:tabs>
          <w:tab w:val="left" w:pos="993"/>
        </w:tabs>
        <w:ind w:firstLine="720"/>
        <w:rPr>
          <w:b/>
        </w:rPr>
      </w:pPr>
    </w:p>
    <w:p>
      <w:pPr>
        <w:tabs>
          <w:tab w:val="left" w:pos="993"/>
        </w:tabs>
        <w:ind w:firstLine="720"/>
        <w:jc w:val="center"/>
        <w:rPr>
          <w:b/>
        </w:rPr>
      </w:pPr>
      <w:r>
        <w:rPr>
          <w:b/>
        </w:rPr>
        <w:t xml:space="preserve">2. Условия выполнения Работ.</w:t>
      </w:r>
    </w:p>
    <w:p>
      <w:pPr>
        <w:ind w:firstLine="720"/>
      </w:pPr>
      <w:r>
        <w:t xml:space="preserve">Выполнить все Работы в объеме и сроки, предусмотренные Контрактом и приложениями к нему, и сдать Объект Заказчику с качеством, соответствующим требованиям Документации, организационно-технологической документации, нормативно-технической документации, обязательной при выполнении дорожных работ ГОСТ 25607-2009, ГОСТ 8267-93, ГОСТ </w:t>
      </w:r>
      <w:r>
        <w:t xml:space="preserve">Р</w:t>
      </w:r>
      <w:r>
        <w:t xml:space="preserve"> 52290-2004, ГОСТ 26633-2015, ГОСТ Р 58861-2020, ГОСТ Р 59178-2021, ГОСТ Р 59200-2021, ГОСТ Р 50597-2017, ГОСТ Р 59120-2021, ГОСТ Р 59201-2021,</w:t>
      </w:r>
      <w:r>
        <w:t xml:space="preserve"> </w:t>
      </w:r>
      <w:r>
        <w:t xml:space="preserve">ГОСТ Р 58406.1-2020 - ГОСТ </w:t>
      </w:r>
      <w:r>
        <w:t xml:space="preserve">Р</w:t>
      </w:r>
      <w:r>
        <w:t xml:space="preserve"> 584406.3-2020, ГОСТ 32952-2014, ГОСТ Р 51256-2018, СП 78.13330.2012, </w:t>
      </w:r>
      <w:r>
        <w:t xml:space="preserve">Постановления Пр</w:t>
      </w:r>
      <w:r>
        <w:t xml:space="preserve">авительства РФ от 31.12.2009г. </w:t>
      </w:r>
      <w:r>
        <w:t xml:space="preserve">№ 1221 «Об утверждении Правил установления требований энергетической эффективности товаров, работ, услуг при осуществлении закупок для обеспечения государственных и муниципальных нужд»,</w:t>
      </w:r>
      <w:r>
        <w:t xml:space="preserve"> ТР ТС 014/2011, СТП ТУАД , СТО ТУАД), принятых в установленном порядке, другой нормативной документации.</w:t>
      </w:r>
    </w:p>
    <w:p>
      <w:pPr>
        <w:ind w:firstLine="720"/>
        <w:rPr>
          <w:b/>
        </w:rPr>
      </w:pPr>
      <w:r>
        <w:rPr>
          <w:b/>
        </w:rPr>
        <w:t xml:space="preserve">       </w:t>
      </w:r>
    </w:p>
    <w:p>
      <w:pPr>
        <w:rPr>
          <w:lang w:eastAsia="en-US"/>
        </w:rPr>
      </w:pPr>
      <w:r>
        <w:rPr>
          <w:b/>
        </w:rPr>
        <w:t xml:space="preserve">3. </w:t>
      </w:r>
      <w:r>
        <w:rPr>
          <w:b/>
          <w:lang w:eastAsia="en-US"/>
        </w:rPr>
        <w:t xml:space="preserve">Сроки выполнения, приемки Работ и исполнения отдельных этапов Контракта.</w:t>
      </w:r>
    </w:p>
    <w:p>
      <w:pPr>
        <w:rPr>
          <w:color w:val="000000" w:themeColor="text1"/>
        </w:rPr>
      </w:pPr>
      <w:r>
        <w:rPr>
          <w:color w:val="000000" w:themeColor="text1"/>
        </w:rPr>
        <w:t xml:space="preserve">Сроки выполнения работ по Контракту:</w:t>
      </w:r>
    </w:p>
    <w:p>
      <w:pPr>
        <w:rPr>
          <w:color w:val="000000" w:themeColor="text1"/>
        </w:rPr>
      </w:pPr>
      <w:r>
        <w:rPr>
          <w:color w:val="000000" w:themeColor="text1"/>
        </w:rPr>
        <w:t xml:space="preserve">Дата начала выполнения работ по I этапу – </w:t>
      </w:r>
      <w:r>
        <w:rPr>
          <w:color w:val="000000" w:themeColor="text1"/>
        </w:rPr>
        <w:t xml:space="preserve">с даты заключения</w:t>
      </w:r>
      <w:r>
        <w:rPr>
          <w:color w:val="000000" w:themeColor="text1"/>
        </w:rPr>
        <w:t xml:space="preserve"> Контракта.</w:t>
      </w:r>
    </w:p>
    <w:p>
      <w:pPr>
        <w:rPr>
          <w:color w:val="000000" w:themeColor="text1"/>
        </w:rPr>
      </w:pPr>
      <w:r>
        <w:rPr>
          <w:color w:val="000000" w:themeColor="text1"/>
        </w:rPr>
        <w:t xml:space="preserve">Дата окончания выполнения работ по I этапу – 04.06.2025 г.</w:t>
      </w:r>
    </w:p>
    <w:p>
      <w:pPr>
        <w:rPr>
          <w:color w:val="000000" w:themeColor="text1"/>
        </w:rPr>
      </w:pPr>
      <w:r>
        <w:rPr>
          <w:color w:val="000000" w:themeColor="text1"/>
        </w:rPr>
        <w:t xml:space="preserve">Дата начала выполнения работ по II этапу – 05.06.2025 г.</w:t>
      </w:r>
    </w:p>
    <w:p>
      <w:pPr>
        <w:rPr>
          <w:color w:val="000000" w:themeColor="text1"/>
        </w:rPr>
      </w:pPr>
      <w:r>
        <w:rPr>
          <w:color w:val="000000" w:themeColor="text1"/>
        </w:rPr>
        <w:t xml:space="preserve">Дата окончания выполнения работ по II этапу – 03.07.2025 г.</w:t>
      </w:r>
    </w:p>
    <w:p>
      <w:pPr>
        <w:rPr>
          <w:color w:val="000000" w:themeColor="text1"/>
        </w:rPr>
      </w:pPr>
      <w:r>
        <w:rPr>
          <w:color w:val="000000" w:themeColor="text1"/>
        </w:rPr>
        <w:t xml:space="preserve">Дата начала выполнения работ по III этапу – 04.07.2025 г.</w:t>
      </w:r>
    </w:p>
    <w:p>
      <w:pPr>
        <w:rPr>
          <w:color w:val="000000" w:themeColor="text1"/>
        </w:rPr>
      </w:pPr>
      <w:r>
        <w:rPr>
          <w:color w:val="000000" w:themeColor="text1"/>
        </w:rPr>
        <w:t xml:space="preserve">Дата окончания выполнения работ по III этапу на Объекте – 05.09.2025 г. (до данной даты результат Работ должен быть сдан Заказчику).</w:t>
      </w:r>
    </w:p>
    <w:p>
      <w:pPr>
        <w:rPr>
          <w:color w:val="000000" w:themeColor="text1"/>
        </w:rPr>
      </w:pPr>
      <w:r>
        <w:rPr>
          <w:color w:val="000000" w:themeColor="text1"/>
        </w:rPr>
        <w:t xml:space="preserve">Сроки выполнения Работ по этапам устанавливаются «Графиком выполнения работ» (Приложение № 2).</w:t>
      </w:r>
    </w:p>
    <w:p>
      <w:pPr>
        <w:rPr>
          <w:color w:val="000000" w:themeColor="text1"/>
        </w:rPr>
      </w:pPr>
      <w:r>
        <w:rPr>
          <w:color w:val="000000" w:themeColor="text1"/>
        </w:rPr>
        <w:t xml:space="preserve">Сроки приемки Работ по этапам:</w:t>
      </w:r>
    </w:p>
    <w:p>
      <w:pPr>
        <w:rPr>
          <w:color w:val="000000" w:themeColor="text1"/>
        </w:rPr>
      </w:pPr>
      <w:r>
        <w:rPr>
          <w:color w:val="000000" w:themeColor="text1"/>
        </w:rPr>
        <w:t xml:space="preserve">по I этапу – 11.06.2025 г.,</w:t>
      </w:r>
    </w:p>
    <w:p>
      <w:pPr>
        <w:rPr>
          <w:color w:val="000000" w:themeColor="text1"/>
        </w:rPr>
      </w:pPr>
      <w:r>
        <w:rPr>
          <w:color w:val="000000" w:themeColor="text1"/>
        </w:rPr>
        <w:t xml:space="preserve">по II этапу – 10.07.2025 г.,</w:t>
      </w:r>
    </w:p>
    <w:p>
      <w:pPr>
        <w:rPr>
          <w:color w:val="000000" w:themeColor="text1"/>
        </w:rPr>
      </w:pPr>
      <w:r>
        <w:rPr>
          <w:color w:val="000000" w:themeColor="text1"/>
        </w:rPr>
        <w:t xml:space="preserve">по III этапу – 12.09.2025 г.</w:t>
      </w:r>
    </w:p>
    <w:p>
      <w:pPr>
        <w:rPr>
          <w:color w:val="000000" w:themeColor="text1"/>
        </w:rPr>
      </w:pPr>
      <w:r>
        <w:rPr>
          <w:color w:val="000000" w:themeColor="text1"/>
        </w:rPr>
        <w:t xml:space="preserve">Сроки исполнения отдельных этапов Контракта:</w:t>
      </w:r>
    </w:p>
    <w:p>
      <w:pPr>
        <w:rPr>
          <w:color w:val="000000" w:themeColor="text1"/>
        </w:rPr>
      </w:pPr>
      <w:r>
        <w:rPr>
          <w:color w:val="000000" w:themeColor="text1"/>
        </w:rPr>
        <w:t xml:space="preserve">Дата начала исполнения  I этапа  – </w:t>
      </w:r>
      <w:r>
        <w:rPr>
          <w:color w:val="000000" w:themeColor="text1"/>
        </w:rPr>
        <w:t xml:space="preserve">с даты заключения</w:t>
      </w:r>
      <w:r>
        <w:rPr>
          <w:color w:val="000000" w:themeColor="text1"/>
        </w:rPr>
        <w:t xml:space="preserve"> Контракта.</w:t>
      </w:r>
    </w:p>
    <w:p>
      <w:pPr>
        <w:rPr>
          <w:color w:val="000000" w:themeColor="text1"/>
        </w:rPr>
      </w:pPr>
      <w:r>
        <w:rPr>
          <w:color w:val="000000" w:themeColor="text1"/>
        </w:rPr>
        <w:t xml:space="preserve">Дата окончания исполнения I этапа  – 23.06.2025 г.</w:t>
      </w:r>
    </w:p>
    <w:p>
      <w:pPr>
        <w:rPr>
          <w:color w:val="000000" w:themeColor="text1"/>
        </w:rPr>
      </w:pPr>
      <w:r>
        <w:rPr>
          <w:color w:val="000000" w:themeColor="text1"/>
        </w:rPr>
        <w:t xml:space="preserve">Дата начала исполнения по II этапу – 06.06.2025 г.</w:t>
      </w:r>
    </w:p>
    <w:p>
      <w:pPr>
        <w:rPr>
          <w:color w:val="000000" w:themeColor="text1"/>
        </w:rPr>
      </w:pPr>
      <w:r>
        <w:rPr>
          <w:color w:val="000000" w:themeColor="text1"/>
        </w:rPr>
        <w:t xml:space="preserve">Дата окончания исполнения по II этапу – 21.07.2025 г.</w:t>
      </w:r>
    </w:p>
    <w:p>
      <w:pPr>
        <w:rPr>
          <w:color w:val="000000" w:themeColor="text1"/>
        </w:rPr>
      </w:pPr>
      <w:r>
        <w:rPr>
          <w:color w:val="000000" w:themeColor="text1"/>
        </w:rPr>
        <w:t xml:space="preserve">Дата начала исполнения  III этапа – 04.07.2025 г. </w:t>
      </w:r>
    </w:p>
    <w:p>
      <w:pPr>
        <w:rPr>
          <w:color w:val="000000" w:themeColor="text1"/>
        </w:rPr>
      </w:pPr>
      <w:r>
        <w:rPr>
          <w:color w:val="000000" w:themeColor="text1"/>
        </w:rPr>
        <w:t xml:space="preserve">Дата окончания исполнения III этапа – 23.09.2025 г.</w:t>
      </w:r>
    </w:p>
    <w:p>
      <w:pPr>
        <w:rPr>
          <w:lang w:eastAsia="en-US"/>
        </w:rPr>
      </w:pPr>
      <w:r>
        <w:rPr>
          <w:lang w:eastAsia="en-US"/>
        </w:rPr>
        <w:t xml:space="preserve">3.3.1. За 20 рабочих дней до даты окончания выполнения</w:t>
      </w:r>
      <w:r>
        <w:rPr>
          <w:lang w:eastAsia="en-US"/>
        </w:rPr>
        <w:t xml:space="preserve"> </w:t>
      </w:r>
      <w:r>
        <w:rPr>
          <w:lang w:eastAsia="en-US"/>
        </w:rPr>
        <w:t xml:space="preserve">этапа Работ, указанной в «Графике выполнения работ» (Приложение № 2), Подрядчик должен направить Заказчику извещение о завершении этапа Работ и документы, предусмотренные п. 4.6. Контракта. Документ о приемке формируется в ЕИС в соответствии с п. 4.14 контракта.  </w:t>
      </w:r>
    </w:p>
    <w:p>
      <w:pPr>
        <w:rPr>
          <w:b/>
        </w:rPr>
      </w:pPr>
    </w:p>
    <w:p>
      <w:pPr>
        <w:ind w:left="720"/>
        <w:rPr>
          <w:b/>
        </w:rPr>
      </w:pPr>
      <w:r>
        <w:rPr>
          <w:b/>
        </w:rPr>
        <w:t xml:space="preserve">4. Требования по сроку гарантий качества на результаты Работ.</w:t>
      </w:r>
    </w:p>
    <w:p>
      <w:r>
        <w:t xml:space="preserve">Гарантийные сроки на результат выполненных работ установлены в соответствии с требованиями </w:t>
      </w:r>
      <w:r>
        <w:t xml:space="preserve">Постановлени</w:t>
      </w:r>
      <w:r>
        <w:t xml:space="preserve">я</w:t>
      </w:r>
      <w:r>
        <w:t xml:space="preserve"> Правительства РФ от 8 апреля 2023 г. № 572 </w:t>
      </w:r>
      <w:r>
        <w:t xml:space="preserve">«</w:t>
      </w:r>
      <w:r>
        <w:t xml:space="preserve">Об утверждении типовых условий контрактов на выполнение работ по ремонту автомобильных дорог, искусственных дорожных сооружений</w:t>
      </w:r>
      <w:r>
        <w:t xml:space="preserve">». Течение гарантийных сроков начинается </w:t>
      </w:r>
      <w:r>
        <w:t xml:space="preserve">с даты окончания</w:t>
      </w:r>
      <w:r>
        <w:t xml:space="preserve"> выполнения Работ на Объекте за последний (</w:t>
      </w:r>
      <w:r>
        <w:rPr>
          <w:lang w:val="en-US"/>
        </w:rPr>
        <w:t xml:space="preserve">I</w:t>
      </w:r>
      <w:r>
        <w:t xml:space="preserve">I</w:t>
      </w:r>
      <w:r>
        <w:rPr>
          <w:lang w:val="en-US"/>
        </w:rPr>
        <w:t xml:space="preserve">I</w:t>
      </w:r>
      <w:r>
        <w:t xml:space="preserve">)</w:t>
      </w:r>
      <w:r>
        <w:t xml:space="preserve"> этап (дата подписания документа о приемке Заказчиком, сформированного с использованием ЕИС). С этой даты начинается гарантийный срок </w:t>
      </w:r>
      <w:r>
        <w:t xml:space="preserve">на</w:t>
      </w:r>
      <w:r>
        <w:t xml:space="preserve">:</w:t>
      </w:r>
    </w:p>
    <w:p/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7373"/>
        <w:gridCol w:w="3190"/>
      </w:tblGrid>
      <w:tr>
        <w:tc>
          <w:tcPr>
            <w:tcW w:w="349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r>
              <w:t xml:space="preserve">Наименование вида работ</w:t>
            </w:r>
          </w:p>
        </w:tc>
        <w:tc>
          <w:tcPr>
            <w:tcW w:w="151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r>
              <w:t xml:space="preserve">Гарантийный срок</w:t>
            </w:r>
          </w:p>
        </w:tc>
      </w:tr>
      <w:tr>
        <w:trPr>
          <w:trHeight w:val="120"/>
        </w:trPr>
        <w:tc>
          <w:tcPr>
            <w:tcW w:w="349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hideMark/>
          </w:tcPr>
          <w:p>
            <w:r>
              <w:t xml:space="preserve">Верхний слой покрытия из ЩПС</w:t>
            </w:r>
          </w:p>
        </w:tc>
        <w:tc>
          <w:tcPr>
            <w:tcW w:w="151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r>
              <w:t xml:space="preserve">2 года</w:t>
            </w:r>
          </w:p>
        </w:tc>
      </w:tr>
      <w:tr>
        <w:trPr>
          <w:trHeight w:val="120"/>
        </w:trPr>
        <w:tc>
          <w:tcPr>
            <w:tcW w:w="349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hideMark/>
          </w:tcPr>
          <w:p>
            <w:r>
              <w:t xml:space="preserve">Дорожные знаки с применением </w:t>
            </w:r>
            <w:r>
              <w:t xml:space="preserve">световозвращающего</w:t>
            </w:r>
            <w:r>
              <w:t xml:space="preserve"> материала </w:t>
            </w:r>
            <w:r>
              <w:rPr>
                <w:lang w:val="en-US"/>
              </w:rPr>
              <w:t xml:space="preserve">I</w:t>
            </w:r>
            <w:r>
              <w:t xml:space="preserve"> класса</w:t>
            </w:r>
          </w:p>
        </w:tc>
        <w:tc>
          <w:tcPr>
            <w:tcW w:w="151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r>
              <w:t xml:space="preserve">5 лет</w:t>
            </w:r>
          </w:p>
        </w:tc>
      </w:tr>
      <w:tr>
        <w:trPr>
          <w:trHeight w:val="128"/>
        </w:trPr>
        <w:tc>
          <w:tcPr>
            <w:tcW w:w="349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hideMark/>
          </w:tcPr>
          <w:p>
            <w:r>
              <w:t xml:space="preserve">Сигнальные столбики</w:t>
            </w:r>
          </w:p>
        </w:tc>
        <w:tc>
          <w:tcPr>
            <w:tcW w:w="151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r>
              <w:t xml:space="preserve">2 года</w:t>
            </w:r>
          </w:p>
        </w:tc>
      </w:tr>
      <w:tr>
        <w:trPr>
          <w:trHeight w:val="128"/>
        </w:trPr>
        <w:tc>
          <w:tcPr>
            <w:tcW w:w="349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hideMark/>
          </w:tcPr>
          <w:p>
            <w:r>
              <w:t xml:space="preserve">Искусственные сооружения (водопропускные трубы)</w:t>
            </w:r>
          </w:p>
        </w:tc>
        <w:tc>
          <w:tcPr>
            <w:tcW w:w="151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  <w:hideMark/>
          </w:tcPr>
          <w:p>
            <w:r>
              <w:t xml:space="preserve">6 лет</w:t>
            </w:r>
          </w:p>
        </w:tc>
      </w:tr>
    </w:tbl>
    <w:p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570345" cy="9215902"/>
                <wp:effectExtent l="0" t="0" r="1905" b="4445"/>
                <wp:docPr id="6" name="Рисунок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/>
                        <pic:cNvPicPr>
                          <a:picLocks noChangeAspect="1" noChangeArrowheads="1"/>
                        </pic:cNvPicPr>
                        <pic:nvPr/>
                      </pic:nvPicPr>
                      <pic:blipFill>
                        <a:blip r:embed="rId11"/>
                        <a:srcRect/>
                        <a:stretch/>
                      </pic:blipFill>
                      <pic:spPr bwMode="auto">
                        <a:xfrm>
                          <a:off x="0" y="0"/>
                          <a:ext cx="6570345" cy="921590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517.35pt;height:725.66pt;mso-wrap-distance-left:0.00pt;mso-wrap-distance-top:0.00pt;mso-wrap-distance-right:0.00pt;mso-wrap-distance-bottom:0.00pt;" stroked="f">
                <v:path textboxrect="0,0,0,0"/>
                <v:imagedata r:id="rId11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570345" cy="9205015"/>
                <wp:effectExtent l="0" t="0" r="1905" b="0"/>
                <wp:docPr id="7" name="Рисунок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/>
                        <pic:cNvPicPr>
                          <a:picLocks noChangeAspect="1" noChangeArrowheads="1"/>
                        </pic:cNvPicPr>
                        <pic:nvPr/>
                      </pic:nvPicPr>
                      <pic:blipFill>
                        <a:blip r:embed="rId12"/>
                        <a:srcRect/>
                        <a:stretch/>
                      </pic:blipFill>
                      <pic:spPr bwMode="auto">
                        <a:xfrm>
                          <a:off x="0" y="0"/>
                          <a:ext cx="6570345" cy="9205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517.35pt;height:724.80pt;mso-wrap-distance-left:0.00pt;mso-wrap-distance-top:0.00pt;mso-wrap-distance-right:0.00pt;mso-wrap-distance-bottom:0.00pt;" stroked="f">
                <v:path textboxrect="0,0,0,0"/>
                <v:imagedata r:id="rId12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570345" cy="9323328"/>
                <wp:effectExtent l="0" t="0" r="1905" b="0"/>
                <wp:docPr id="8" name="Рисунок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  <pic:nvPr/>
                      </pic:nvPicPr>
                      <pic:blipFill>
                        <a:blip r:embed="rId13"/>
                        <a:srcRect/>
                        <a:stretch/>
                      </pic:blipFill>
                      <pic:spPr bwMode="auto">
                        <a:xfrm>
                          <a:off x="0" y="0"/>
                          <a:ext cx="6570345" cy="93233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517.35pt;height:734.12pt;mso-wrap-distance-left:0.00pt;mso-wrap-distance-top:0.00pt;mso-wrap-distance-right:0.00pt;mso-wrap-distance-bottom:0.00pt;" stroked="f">
                <v:path textboxrect="0,0,0,0"/>
                <v:imagedata r:id="rId13" o:title=""/>
              </v:shape>
            </w:pict>
          </mc:Fallback>
        </mc:AlternateContent>
      </w:r>
    </w:p>
    <w:sectPr>
      <w:pgSz w:w="11906" w:h="16838"/>
      <w:pgMar w:top="709" w:right="850" w:bottom="1134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 CYR">
    <w:panose1 w:val="02020603050405020304"/>
  </w:font>
  <w:font w:name="Tahoma">
    <w:panose1 w:val="020B0604030504040204"/>
  </w:font>
  <w:font w:name="Times New Roman">
    <w:panose1 w:val="02020603050405020304"/>
  </w:font>
  <w:font w:name="Calibri">
    <w:panose1 w:val="020F0502020204030204"/>
  </w:font>
  <w:font w:name="Cambria">
    <w:panose1 w:val="02040503050406030204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a" w:default="1">
    <w:name w:val="Normal"/>
    <w:qFormat/>
    <w:pPr>
      <w:spacing w:after="0" w:line="240" w:lineRule="auto"/>
      <w:ind w:firstLine="709"/>
      <w:jc w:val="both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styleId="a0" w:default="1">
    <w:name w:val="Default Paragraph Font"/>
    <w:uiPriority w:val="1"/>
    <w:semiHidden/>
    <w:unhideWhenUsed/>
  </w:style>
  <w:style w:type="table" w:styleId="a1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a2" w:default="1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pPr>
      <w:ind w:firstLine="0"/>
      <w:jc w:val="left"/>
    </w:pPr>
    <w:rPr>
      <w:rFonts w:ascii="Tahoma" w:hAnsi="Tahoma" w:cs="Tahoma" w:eastAsiaTheme="minorHAnsi"/>
      <w:sz w:val="16"/>
      <w:szCs w:val="16"/>
      <w:lang w:eastAsia="en-US"/>
    </w:rPr>
  </w:style>
  <w:style w:type="character" w:styleId="a4" w:customStyle="1">
    <w:name w:val="Текст выноски Знак"/>
    <w:basedOn w:val="a0"/>
    <w:link w:val="a3"/>
    <w:uiPriority w:val="99"/>
    <w:semiHidden/>
    <w:rPr>
      <w:rFonts w:ascii="Tahoma" w:hAnsi="Tahoma" w:cs="Tahoma"/>
      <w:sz w:val="16"/>
      <w:szCs w:val="16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image" Target="media/image1.jpg"/><Relationship Id="rId7" Type="http://schemas.openxmlformats.org/officeDocument/2006/relationships/image" Target="media/image2.jpg"/><Relationship Id="rId8" Type="http://schemas.openxmlformats.org/officeDocument/2006/relationships/image" Target="media/image3.emf"/><Relationship Id="rId9" Type="http://schemas.openxmlformats.org/officeDocument/2006/relationships/image" Target="media/image4.emf"/><Relationship Id="rId10" Type="http://schemas.openxmlformats.org/officeDocument/2006/relationships/image" Target="media/image5.emf"/><Relationship Id="rId11" Type="http://schemas.openxmlformats.org/officeDocument/2006/relationships/image" Target="media/image6.emf"/><Relationship Id="rId12" Type="http://schemas.openxmlformats.org/officeDocument/2006/relationships/image" Target="media/image7.emf"/><Relationship Id="rId13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Arial"/>
        <a:cs typeface="Arial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Р7-Офис/2024.3.2.584</Application>
  <Characters>3723</Characters>
  <CharactersWithSpaces>4368</CharactersWithSpaces>
  <Company/>
  <DocSecurity>0</DocSecurity>
  <HyperlinksChanged>false</HyperlinksChanged>
  <Lines>31</Lines>
  <LinksUpToDate>false</LinksUpToDate>
  <Pages>10</Pages>
  <Paragraphs>8</Paragraphs>
  <ScaleCrop>false</ScaleCrop>
  <SharedDoc>false</SharedDoc>
  <Template>Normal</Template>
  <TotalTime>10</TotalTime>
  <Words>653</Word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Ивасенко Наталья Алексеевна</dc:creator>
  <cp:keywords/>
  <dc:description/>
  <cp:lastModifiedBy>Ивасенко Наталья Алексеевна</cp:lastModifiedBy>
  <cp:revision>7</cp:revision>
  <dcterms:created xsi:type="dcterms:W3CDTF">2024-10-09T05:58:00Z</dcterms:created>
  <dcterms:modified xsi:type="dcterms:W3CDTF">2024-10-09T08:27:00Z</dcterms:modified>
</cp:coreProperties>
</file>